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Persistent inflammation during anti-tuberculosis treatment with diabetes comorbidity</w:t>
      </w:r>
    </w:p>
    <w:p w:rsidR="00000000" w:rsidDel="00000000" w:rsidP="00000000" w:rsidRDefault="00000000" w:rsidRPr="00000000" w14:paraId="00000003">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Diabetes mellitus (DM) significantly increases the risk of developing active pulmonary tuberculosis (TB) and experiencing adverse treatment outcomes, such as delayed sputum conversion, treatment failure, and death. While individuals with TB and concurrent DM (TBDM) are known to exhibit systemic hyper-inflammation at the time of diagnosis, the long-term impact of anti-TB treatment (ATT) on this inflammatory pattern remains poorly understood.</w:t>
      </w:r>
    </w:p>
    <w:p w:rsidR="00000000" w:rsidDel="00000000" w:rsidP="00000000" w:rsidRDefault="00000000" w:rsidRPr="00000000" w14:paraId="00000007">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8">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We measured 17 plasma cytokines and growth factors in longitudinal cohorts of pulmonary TB patients with and without DM from India ($n=87$) and Brazil ($n=51$). Assessments were conducted at diagnosis (baseline) and during the 6-month course of ATT; the India cohort was also evaluated one year after treatment completion (month 18).</w:t>
      </w:r>
    </w:p>
    <w:p w:rsidR="00000000" w:rsidDel="00000000" w:rsidP="00000000" w:rsidRDefault="00000000" w:rsidRPr="00000000" w14:paraId="00000009">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Principal component analysis showed a clear separation between TBDM and TB patients at baseline, with TBDM groups exhibiting higher levels of nearly all pro-inflammatory analytes in both countries. This systemic hyper-inflammation in TBDM persisted through the end of treatment at month 6. Although inflammation eventually resolved and converged by one year after treatment completion (month 18) in the India cohort, TBDM was initially hallmarked by significantly lower levels of the anti-inflammatory cytokine IL-10.</w:t>
      </w:r>
    </w:p>
    <w:p w:rsidR="00000000" w:rsidDel="00000000" w:rsidP="00000000" w:rsidRDefault="00000000" w:rsidRPr="00000000" w14:paraId="0000000A">
      <w:pPr>
        <w:numPr>
          <w:ilvl w:val="0"/>
          <w:numId w:val="2"/>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Conclusions: DM comorbidity is associated with a hyper-inflammatory phenotype that resolves more slowly than in normoglycemic TB patients. This persistent inflammation likely contributes to increased morbidity and risk for TB-related mortality, highlighting the potential benefit of anti-inflammatory host-directed therapies for TBDM patients.</w:t>
      </w:r>
    </w:p>
    <w:p w:rsidR="00000000" w:rsidDel="00000000" w:rsidP="00000000" w:rsidRDefault="00000000" w:rsidRPr="00000000" w14:paraId="0000000B">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diabetes; prediabetes; treatment outcome; </w:t>
      </w:r>
      <w:r w:rsidDel="00000000" w:rsidR="00000000" w:rsidRPr="00000000">
        <w:rPr>
          <w:rFonts w:ascii="Arial" w:cs="Arial" w:eastAsia="Arial" w:hAnsi="Arial"/>
          <w:b w:val="1"/>
          <w:bCs w:val="1"/>
          <w:i w:val="1"/>
          <w:iCs w:val="1"/>
          <w:rtl w:val="0"/>
        </w:rPr>
        <w:t xml:space="preserve">Mycobacterium tuberculosis</w:t>
      </w:r>
      <w:r w:rsidDel="00000000" w:rsidR="00000000" w:rsidRPr="00000000">
        <w:rPr>
          <w:rFonts w:ascii="Arial" w:cs="Arial" w:eastAsia="Arial" w:hAnsi="Arial"/>
          <w:b w:val="1"/>
          <w:bCs w:val="1"/>
          <w:rtl w:val="0"/>
        </w:rPr>
        <w:t xml:space="preserve">; systemic inflammatio</w:t>
      </w:r>
    </w:p>
    <w:p w:rsidR="00000000" w:rsidDel="00000000" w:rsidP="00000000" w:rsidRDefault="00000000" w:rsidRPr="00000000" w14:paraId="0000000C">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Inflamação persistente durante o tratamento antituberculose com comorbidade de diabetes</w:t>
      </w:r>
    </w:p>
    <w:p w:rsidR="00000000" w:rsidDel="00000000" w:rsidP="00000000" w:rsidRDefault="00000000" w:rsidRPr="00000000" w14:paraId="0000001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2">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O diabetes mellitus (DM) aumenta significativamente o risco de desenvolver tuberculose (TB) pulmonar ativa e de apresentar desfechos adversos no tratamento, como atraso na conversão do escarro, falha no tratamento e óbito. Embora se saiba que indivíduos com TB e DM concomitante (TBDM) exibem hiperinflamação sistêmica no momento do diagnóstico, o impacto a longo prazo do tratamento antituberculose (ATT) sobre esse padrão inflamatório ainda não foi determinado.</w:t>
      </w:r>
    </w:p>
    <w:p w:rsidR="00000000" w:rsidDel="00000000" w:rsidP="00000000" w:rsidRDefault="00000000" w:rsidRPr="00000000" w14:paraId="00000013">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4">
      <w:pPr>
        <w:numPr>
          <w:ilvl w:val="0"/>
          <w:numId w:val="1"/>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Medimos 17 citocinas plasmáticas e fatores de crescimento em coortes longitudinais de pacientes com TB pulmonar com e sem DM na Índia ($n=87$) e no Brasil ($n=51$). As avaliações foram realizadas no diagnóstico (linha de base) e durante o curso de 6 meses do ATT; a coorte da Índia também foi avaliada um ano após a conclusão do tratamento (mês 18).</w:t>
      </w:r>
    </w:p>
    <w:p w:rsidR="00000000" w:rsidDel="00000000" w:rsidP="00000000" w:rsidRDefault="00000000" w:rsidRPr="00000000" w14:paraId="00000015">
      <w:pPr>
        <w:numPr>
          <w:ilvl w:val="0"/>
          <w:numId w:val="1"/>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A análise de componentes principais mostrou uma separação clara entre pacientes com TBDM e TB na linha de base, com o grupo TBDM exibindo níveis mais elevados de quase todos os analitos pró-inflamatórios em ambos os países. Essa hiperinflamação sistêmica na TBDM persistiu até o final do tratamento no 6º mês. Embora a inflamação tenha eventualmente resolvido e convergido um ano após o término do tratamento (mês 18) na coorte da Índia, a TBDM foi inicialmente marcada por níveis significativamente mais baixos da citocina anti-inflamatória IL-10.</w:t>
      </w:r>
    </w:p>
    <w:p w:rsidR="00000000" w:rsidDel="00000000" w:rsidP="00000000" w:rsidRDefault="00000000" w:rsidRPr="00000000" w14:paraId="00000016">
      <w:pPr>
        <w:numPr>
          <w:ilvl w:val="0"/>
          <w:numId w:val="1"/>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A comorbidade por DM está associada a um fenótipo hiperinflamatório que se resolve mais lentamente do que em pacientes com TB normoglicêmicos. Essa inflamação persistente provavelmente contribui para o aumento da morbidade e do risco de mortalidade relacionada à TB, destacando o benefício potencial de terapias direcionadas ao hospedeiro com propriedades anti-inflamatórias para pacientes com TBDM.</w:t>
      </w:r>
    </w:p>
    <w:p w:rsidR="00000000" w:rsidDel="00000000" w:rsidP="00000000" w:rsidRDefault="00000000" w:rsidRPr="00000000" w14:paraId="00000017">
      <w:pPr>
        <w:spacing w:after="240" w:line="276"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Palavras-chave: </w:t>
      </w:r>
      <w:r w:rsidDel="00000000" w:rsidR="00000000" w:rsidRPr="00000000">
        <w:rPr>
          <w:rFonts w:ascii="Arial" w:cs="Arial" w:eastAsia="Arial" w:hAnsi="Arial"/>
          <w:color w:val="0b5394"/>
          <w:rtl w:val="0"/>
        </w:rPr>
        <w:t xml:space="preserve">diabetes; pré-diabetes; desfecho do tratamento; </w:t>
      </w:r>
      <w:r w:rsidDel="00000000" w:rsidR="00000000" w:rsidRPr="00000000">
        <w:rPr>
          <w:rFonts w:ascii="Arial" w:cs="Arial" w:eastAsia="Arial" w:hAnsi="Arial"/>
          <w:i w:val="1"/>
          <w:iCs w:val="1"/>
          <w:color w:val="0b5394"/>
          <w:rtl w:val="0"/>
        </w:rPr>
        <w:t xml:space="preserve">Mycobacterium tuberculosis</w:t>
      </w:r>
      <w:r w:rsidDel="00000000" w:rsidR="00000000" w:rsidRPr="00000000">
        <w:rPr>
          <w:rFonts w:ascii="Arial" w:cs="Arial" w:eastAsia="Arial" w:hAnsi="Arial"/>
          <w:color w:val="0b5394"/>
          <w:rtl w:val="0"/>
        </w:rPr>
        <w:t xml:space="preserve">; inflamação sistêmica. </w:t>
      </w:r>
    </w:p>
    <w:p w:rsidR="00000000" w:rsidDel="00000000" w:rsidP="00000000" w:rsidRDefault="00000000" w:rsidRPr="00000000" w14:paraId="00000018">
      <w:pPr>
        <w:spacing w:after="240" w:before="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19">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P9YoQR4h/iyKAcnuAUAyjzw7A==">CgMxLjA4AHIhMUpXU2FrdEQ3cWJrUUNnc2h4dnVjb3RZcDE4VnZfY255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