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rial" w:cs="Arial" w:eastAsia="Arial" w:hAnsi="Arial"/>
          <w:b w:val="1"/>
          <w:bCs w:val="1"/>
          <w:sz w:val="26"/>
          <w:szCs w:val="26"/>
        </w:rPr>
      </w:pPr>
      <w:r w:rsidDel="00000000" w:rsidR="00000000" w:rsidRPr="00000000">
        <w:rPr>
          <w:rFonts w:ascii="Arial" w:cs="Arial" w:eastAsia="Arial" w:hAnsi="Arial"/>
          <w:b w:val="1"/>
          <w:bCs w:val="1"/>
          <w:sz w:val="30"/>
          <w:szCs w:val="30"/>
          <w:rtl w:val="0"/>
        </w:rPr>
        <w:t xml:space="preserve">The Effect of Diabetes and Prediabetes on Antituberculosis Treatment Outcomes: A Multicenter Prospective Cohort Study</w:t>
      </w:r>
      <w:r w:rsidDel="00000000" w:rsidR="00000000" w:rsidRPr="00000000">
        <w:rPr>
          <w:rtl w:val="0"/>
        </w:rPr>
      </w:r>
    </w:p>
    <w:p w:rsidR="00000000" w:rsidDel="00000000" w:rsidP="00000000" w:rsidRDefault="00000000" w:rsidRPr="00000000" w14:paraId="00000002">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Abstract</w:t>
      </w:r>
    </w:p>
    <w:p w:rsidR="00000000" w:rsidDel="00000000" w:rsidP="00000000" w:rsidRDefault="00000000" w:rsidRPr="00000000" w14:paraId="00000004">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Methods: Culture-confirmed, drug-susceptible PWTB from the RePORT-Brazil cohort ($N=643$) and the Brazilian National System of Diseases Notification (SINAN) ($N=20,989$) were stratified by glycemic status. Unfavorable outcome included treatment failure, modification, recurrence, or death. Logistic regression models evaluated associations between glycemic status and outcomes.</w:t>
      </w:r>
    </w:p>
    <w:p w:rsidR="00000000" w:rsidDel="00000000" w:rsidP="00000000" w:rsidRDefault="00000000" w:rsidRPr="00000000" w14:paraId="00000005">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Results: In both cohorts, diabetes was independently associated with unfavorable outcomes (RePORT-Brazil: aRR, 2.45; SINAN: aRR, 1.76) and a higher risk of death during treatment (RePORT-Brazil: aRR, 2.16; SINAN: aRR, 1.93). Prediabetes was not significantly associated with unfavorable outcomes or death. Unfavorable outcomes were also frequently associated with smoking, illicit drug use, and HIV infection.</w:t>
      </w:r>
    </w:p>
    <w:p w:rsidR="00000000" w:rsidDel="00000000" w:rsidP="00000000" w:rsidRDefault="00000000" w:rsidRPr="00000000" w14:paraId="00000006">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Conclusions: Diabetes, but not prediabetes, was associated with an increased risk of unfavorable outcomes and mortality in Brazilian PWTB. These findings highlight the need for systematic laboratory investigation of diabetes in TB cases and targeted interventions to improve treatment success.</w:t>
      </w:r>
    </w:p>
    <w:p w:rsidR="00000000" w:rsidDel="00000000" w:rsidP="00000000" w:rsidRDefault="00000000" w:rsidRPr="00000000" w14:paraId="00000007">
      <w:pPr>
        <w:spacing w:after="240" w:line="276"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Keywords: diabetes; prediabetes; treatment outcome; SINAN; </w:t>
      </w:r>
      <w:r w:rsidDel="00000000" w:rsidR="00000000" w:rsidRPr="00000000">
        <w:rPr>
          <w:rFonts w:ascii="Arial" w:cs="Arial" w:eastAsia="Arial" w:hAnsi="Arial"/>
          <w:b w:val="1"/>
          <w:bCs w:val="1"/>
          <w:i w:val="1"/>
          <w:iCs w:val="1"/>
          <w:sz w:val="26"/>
          <w:szCs w:val="26"/>
          <w:rtl w:val="0"/>
        </w:rPr>
        <w:t xml:space="preserve">Mycobacterium tuberculosis</w:t>
      </w:r>
      <w:r w:rsidDel="00000000" w:rsidR="00000000" w:rsidRPr="00000000">
        <w:rPr>
          <w:rFonts w:ascii="Arial" w:cs="Arial" w:eastAsia="Arial" w:hAnsi="Arial"/>
          <w:b w:val="1"/>
          <w:bCs w:val="1"/>
          <w:sz w:val="26"/>
          <w:szCs w:val="26"/>
          <w:rtl w:val="0"/>
        </w:rPr>
        <w:t xml:space="preserve">.</w:t>
      </w:r>
    </w:p>
    <w:p w:rsidR="00000000" w:rsidDel="00000000" w:rsidP="00000000" w:rsidRDefault="00000000" w:rsidRPr="00000000" w14:paraId="00000008">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9">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A">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B">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color w:val="073763"/>
          <w:sz w:val="30"/>
          <w:szCs w:val="30"/>
        </w:rPr>
      </w:pPr>
      <w:r w:rsidDel="00000000" w:rsidR="00000000" w:rsidRPr="00000000">
        <w:rPr>
          <w:rFonts w:ascii="Arial" w:cs="Arial" w:eastAsia="Arial" w:hAnsi="Arial"/>
          <w:b w:val="1"/>
          <w:bCs w:val="1"/>
          <w:color w:val="073763"/>
          <w:sz w:val="30"/>
          <w:szCs w:val="30"/>
          <w:rtl w:val="0"/>
        </w:rPr>
        <w:t xml:space="preserve">O Efeito do Diabetes e Pré-diabetes nos Desfechos do Tratamento Antituberculose: Um Estudo de Coorte Prospectivo Multicêntrico</w:t>
      </w:r>
    </w:p>
    <w:p w:rsidR="00000000" w:rsidDel="00000000" w:rsidP="00000000" w:rsidRDefault="00000000" w:rsidRPr="00000000" w14:paraId="0000000F">
      <w:pPr>
        <w:spacing w:after="240" w:before="240" w:lineRule="auto"/>
        <w:rPr>
          <w:rFonts w:ascii="Arial" w:cs="Arial" w:eastAsia="Arial" w:hAnsi="Arial"/>
          <w:b w:val="1"/>
          <w:bCs w:val="1"/>
          <w:color w:val="073763"/>
          <w:sz w:val="26"/>
          <w:szCs w:val="26"/>
        </w:rPr>
      </w:pPr>
      <w:r w:rsidDel="00000000" w:rsidR="00000000" w:rsidRPr="00000000">
        <w:rPr>
          <w:rtl w:val="0"/>
        </w:rPr>
      </w:r>
    </w:p>
    <w:p w:rsidR="00000000" w:rsidDel="00000000" w:rsidP="00000000" w:rsidRDefault="00000000" w:rsidRPr="00000000" w14:paraId="00000010">
      <w:pPr>
        <w:spacing w:after="240" w:line="276" w:lineRule="auto"/>
        <w:rPr>
          <w:rFonts w:ascii="Arial" w:cs="Arial" w:eastAsia="Arial" w:hAnsi="Arial"/>
          <w:b w:val="1"/>
          <w:bCs w:val="1"/>
          <w:color w:val="073763"/>
          <w:sz w:val="26"/>
          <w:szCs w:val="26"/>
        </w:rPr>
      </w:pPr>
      <w:r w:rsidDel="00000000" w:rsidR="00000000" w:rsidRPr="00000000">
        <w:rPr>
          <w:rFonts w:ascii="Arial" w:cs="Arial" w:eastAsia="Arial" w:hAnsi="Arial"/>
          <w:b w:val="1"/>
          <w:bCs w:val="1"/>
          <w:color w:val="073763"/>
          <w:sz w:val="26"/>
          <w:szCs w:val="26"/>
          <w:rtl w:val="0"/>
        </w:rPr>
        <w:t xml:space="preserve">Resumo (Abstract)</w:t>
      </w:r>
    </w:p>
    <w:p w:rsidR="00000000" w:rsidDel="00000000" w:rsidP="00000000" w:rsidRDefault="00000000" w:rsidRPr="00000000" w14:paraId="00000011">
      <w:pPr>
        <w:spacing w:after="240" w:line="276" w:lineRule="auto"/>
        <w:rPr>
          <w:rFonts w:ascii="Arial" w:cs="Arial" w:eastAsia="Arial" w:hAnsi="Arial"/>
          <w:b w:val="1"/>
          <w:bCs w:val="1"/>
          <w:color w:val="073763"/>
          <w:sz w:val="26"/>
          <w:szCs w:val="26"/>
        </w:rPr>
      </w:pPr>
      <w:r w:rsidDel="00000000" w:rsidR="00000000" w:rsidRPr="00000000">
        <w:rPr>
          <w:rFonts w:ascii="Arial" w:cs="Arial" w:eastAsia="Arial" w:hAnsi="Arial"/>
          <w:b w:val="1"/>
          <w:bCs w:val="1"/>
          <w:color w:val="073763"/>
          <w:sz w:val="26"/>
          <w:szCs w:val="26"/>
          <w:rtl w:val="0"/>
        </w:rPr>
        <w:t xml:space="preserve">Métodos: PCTB com cultura confirmada e sensíveis a drogas da coorte RePORT-Brasil ($N=643$) e do Sistema de Informação de Agravos de Notificação (SINAN) ($N=20.989$) foram estratificadas pelo status glicêmico. Desfechos desfavoráveis incluíram falha do tratamento, modificação, recorrência ou óbito. Modelos de regressão logística avaliaram as associações entre o status glicêmico e os desfechos.</w:t>
      </w:r>
    </w:p>
    <w:p w:rsidR="00000000" w:rsidDel="00000000" w:rsidP="00000000" w:rsidRDefault="00000000" w:rsidRPr="00000000" w14:paraId="00000012">
      <w:pPr>
        <w:spacing w:after="240" w:line="276" w:lineRule="auto"/>
        <w:rPr>
          <w:rFonts w:ascii="Arial" w:cs="Arial" w:eastAsia="Arial" w:hAnsi="Arial"/>
          <w:b w:val="1"/>
          <w:bCs w:val="1"/>
          <w:color w:val="073763"/>
          <w:sz w:val="26"/>
          <w:szCs w:val="26"/>
        </w:rPr>
      </w:pPr>
      <w:r w:rsidDel="00000000" w:rsidR="00000000" w:rsidRPr="00000000">
        <w:rPr>
          <w:rFonts w:ascii="Arial" w:cs="Arial" w:eastAsia="Arial" w:hAnsi="Arial"/>
          <w:b w:val="1"/>
          <w:bCs w:val="1"/>
          <w:color w:val="073763"/>
          <w:sz w:val="26"/>
          <w:szCs w:val="26"/>
          <w:rtl w:val="0"/>
        </w:rPr>
        <w:t xml:space="preserve">Resultados: Em ambas as coortes, o diabetes foi independentemente associado a desfechos desfavoráveis (RePORT-Brasil: RR ajustado, 2,45; SINAN: RR ajustado, 1,76) e a um maior risco de óbito durante o tratamento (RePORT-Brasil: RR ajustado, 2,16; SINAN: RR ajustado, 1,93). O pré-diabetes não foi significativamente associado a desfechos desfavoráveis ou óbito. Desfechos desfavoráveis também foram frequentemente associados ao tabagismo, uso de drogas ilícitas e infecção pelo HIV.</w:t>
      </w:r>
    </w:p>
    <w:p w:rsidR="00000000" w:rsidDel="00000000" w:rsidP="00000000" w:rsidRDefault="00000000" w:rsidRPr="00000000" w14:paraId="00000013">
      <w:pPr>
        <w:spacing w:after="240" w:line="276" w:lineRule="auto"/>
        <w:rPr>
          <w:rFonts w:ascii="Arial" w:cs="Arial" w:eastAsia="Arial" w:hAnsi="Arial"/>
          <w:b w:val="1"/>
          <w:bCs w:val="1"/>
          <w:color w:val="073763"/>
          <w:sz w:val="26"/>
          <w:szCs w:val="26"/>
        </w:rPr>
      </w:pPr>
      <w:r w:rsidDel="00000000" w:rsidR="00000000" w:rsidRPr="00000000">
        <w:rPr>
          <w:rFonts w:ascii="Arial" w:cs="Arial" w:eastAsia="Arial" w:hAnsi="Arial"/>
          <w:b w:val="1"/>
          <w:bCs w:val="1"/>
          <w:color w:val="073763"/>
          <w:sz w:val="26"/>
          <w:szCs w:val="26"/>
          <w:rtl w:val="0"/>
        </w:rPr>
        <w:t xml:space="preserve">Conclusões: O diabetes, mas não o pré-diabetes, foi associado a um risco aumentado de desfechos desfavoráveis e mortalidade em PCTB brasileiras. Os achados reforçam a importância da investigação laboratorial sistemática de diabetes em casos de TB e de intervenções direcionadas para melhorar o sucesso do tratamento.</w:t>
      </w:r>
    </w:p>
    <w:p w:rsidR="00000000" w:rsidDel="00000000" w:rsidP="00000000" w:rsidRDefault="00000000" w:rsidRPr="00000000" w14:paraId="00000014">
      <w:pPr>
        <w:spacing w:after="240" w:line="276" w:lineRule="auto"/>
        <w:rPr>
          <w:rFonts w:ascii="Arial" w:cs="Arial" w:eastAsia="Arial" w:hAnsi="Arial"/>
          <w:b w:val="1"/>
          <w:bCs w:val="1"/>
          <w:color w:val="073763"/>
          <w:sz w:val="26"/>
          <w:szCs w:val="26"/>
        </w:rPr>
      </w:pPr>
      <w:r w:rsidDel="00000000" w:rsidR="00000000" w:rsidRPr="00000000">
        <w:rPr>
          <w:rFonts w:ascii="Arial" w:cs="Arial" w:eastAsia="Arial" w:hAnsi="Arial"/>
          <w:b w:val="1"/>
          <w:bCs w:val="1"/>
          <w:color w:val="073763"/>
          <w:sz w:val="26"/>
          <w:szCs w:val="26"/>
          <w:rtl w:val="0"/>
        </w:rPr>
        <w:t xml:space="preserve">Palavras-chave: diabetes; pré-diabetes; desfecho do tratamento; SINAN; </w:t>
      </w:r>
      <w:r w:rsidDel="00000000" w:rsidR="00000000" w:rsidRPr="00000000">
        <w:rPr>
          <w:rFonts w:ascii="Arial" w:cs="Arial" w:eastAsia="Arial" w:hAnsi="Arial"/>
          <w:b w:val="1"/>
          <w:bCs w:val="1"/>
          <w:i w:val="1"/>
          <w:iCs w:val="1"/>
          <w:color w:val="073763"/>
          <w:sz w:val="26"/>
          <w:szCs w:val="26"/>
          <w:rtl w:val="0"/>
        </w:rPr>
        <w:t xml:space="preserve">Mycobacterium tuberculosis</w:t>
      </w:r>
      <w:r w:rsidDel="00000000" w:rsidR="00000000" w:rsidRPr="00000000">
        <w:rPr>
          <w:rFonts w:ascii="Arial" w:cs="Arial" w:eastAsia="Arial" w:hAnsi="Arial"/>
          <w:b w:val="1"/>
          <w:bCs w:val="1"/>
          <w:color w:val="073763"/>
          <w:sz w:val="26"/>
          <w:szCs w:val="26"/>
          <w:rtl w:val="0"/>
        </w:rPr>
        <w:t xml:space="preserve">.</w:t>
      </w:r>
    </w:p>
    <w:p w:rsidR="00000000" w:rsidDel="00000000" w:rsidP="00000000" w:rsidRDefault="00000000" w:rsidRPr="00000000" w14:paraId="00000015">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7">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8">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9">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A">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B">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C">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D">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E">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after="240" w:before="24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5">
      <w:pPr>
        <w:spacing w:after="240" w:line="276"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26">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Ro8oqGrFb9m4sOUJP3Kj2fx6Q==">CgMxLjA4AHIhMS1ZNElqZ3dJMUJQc2hYZVltQVRZMU1FT2ZmRlprSHNB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