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76" w:lineRule="auto"/>
        <w:rPr>
          <w:rFonts w:ascii="Arial" w:cs="Arial" w:eastAsia="Arial" w:hAnsi="Arial"/>
          <w:b w:val="1"/>
          <w:bCs w:val="1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4"/>
          <w:szCs w:val="34"/>
          <w:rtl w:val="0"/>
        </w:rPr>
        <w:t xml:space="preserve">2019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  <w:b w:val="1"/>
          <w:bCs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Multifocal tuberculosis-associated immune reconstitution inflammatory syndrome: case report of a complicated scenario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Background:</w:t>
      </w:r>
    </w:p>
    <w:p w:rsidR="00000000" w:rsidDel="00000000" w:rsidP="00000000" w:rsidRDefault="00000000" w:rsidRPr="00000000" w14:paraId="00000005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Tuberculosis-associated immune reconstitution inflammatory syndrome (TB-IRIS) represents a significant challenge in managing HIV-TB patients starting antiretroviral therapy (ART). It occurs in two scenarios: unmasking (previously undiagnosed TB) or paradoxical (worsening of treated TB). Pathogenesis involves the failure to eliminate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M. tuberculosis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during severe immunosuppression, followed by abrupt immune activation upon ART.</w:t>
      </w:r>
    </w:p>
    <w:p w:rsidR="00000000" w:rsidDel="00000000" w:rsidP="00000000" w:rsidRDefault="00000000" w:rsidRPr="00000000" w14:paraId="00000006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Abstract: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="276" w:lineRule="auto"/>
        <w:ind w:left="720" w:hanging="360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Case Presentation: We present a rare and complex case of a 51-year-old woman living with HIV (CD4 count: 51 $cells/\mu L$) who experienced a series of sequential TB-IRIS events at multiple sites. After 32 days of ART, she developed unmasking pulmonary TB. This was followed 48 days later by a hepatic portal event involving jaundice and periportal nodes. After re-starting ART, she suffered focal convulsions due to a brain tuberculoma (CNS-IRIS). Finally, months after completing anti-TB treatment, she developed an intramuscular abscess in the left iliac fossa.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line="276" w:lineRule="auto"/>
        <w:ind w:left="720" w:hanging="360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Conclusion: This multifocal and successive presentation of TB-IRIS highlights the extreme clinical complexity in diagnosis and management for highly immunosuppressed patients. INTERRUPTING art and organ-specific drug penetration are critical factors to consider in such scenarios.</w:t>
      </w:r>
    </w:p>
    <w:p w:rsidR="00000000" w:rsidDel="00000000" w:rsidP="00000000" w:rsidRDefault="00000000" w:rsidRPr="00000000" w14:paraId="00000009">
      <w:pPr>
        <w:spacing w:after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Keywords:</w:t>
      </w:r>
      <w:r w:rsidDel="00000000" w:rsidR="00000000" w:rsidRPr="00000000">
        <w:rPr>
          <w:rFonts w:ascii="Arial" w:cs="Arial" w:eastAsia="Arial" w:hAnsi="Arial"/>
          <w:rtl w:val="0"/>
        </w:rPr>
        <w:t xml:space="preserve"> Immune reconstitution inflammatory syndrome, IRIS, Tuberculosis, HIV.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Arial" w:cs="Arial" w:eastAsia="Arial" w:hAnsi="Arial"/>
          <w:b w:val="1"/>
          <w:bCs w:val="1"/>
          <w:color w:val="0b5394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sz w:val="30"/>
          <w:szCs w:val="30"/>
          <w:rtl w:val="0"/>
        </w:rPr>
        <w:t xml:space="preserve">Síndrome inflamatória de reconstituição imune associada à tuberculose multifocal: relato de caso de um cenário complicado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Arial" w:cs="Arial" w:eastAsia="Arial" w:hAnsi="Arial"/>
          <w:b w:val="1"/>
          <w:bCs w:val="1"/>
          <w:color w:val="0b53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="276" w:lineRule="auto"/>
        <w:rPr>
          <w:rFonts w:ascii="Arial" w:cs="Arial" w:eastAsia="Arial" w:hAnsi="Arial"/>
          <w:b w:val="1"/>
          <w:bCs w:val="1"/>
          <w:color w:val="0b539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rtl w:val="0"/>
        </w:rPr>
        <w:t xml:space="preserve">Contexto:</w:t>
      </w:r>
    </w:p>
    <w:p w:rsidR="00000000" w:rsidDel="00000000" w:rsidP="00000000" w:rsidRDefault="00000000" w:rsidRPr="00000000" w14:paraId="00000012">
      <w:pPr>
        <w:spacing w:after="240" w:line="276" w:lineRule="auto"/>
        <w:rPr>
          <w:rFonts w:ascii="Arial" w:cs="Arial" w:eastAsia="Arial" w:hAnsi="Arial"/>
          <w:b w:val="1"/>
          <w:bCs w:val="1"/>
          <w:color w:val="0b539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rtl w:val="0"/>
        </w:rPr>
        <w:t xml:space="preserve"> A síndrome inflamatória de reconstituição imune associada à tuberculose (TB-IRIS) representa um desafio significativo no manejo de pacientes com HIV-TB que iniciam a terapia antirretroviral (TARV). Ela ocorre em dois cenários: desmascaramento (TB previamente não diagnosticada) ou paradoxal (piora da TB em tratamento). A patogênese envolve a falha em eliminar o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b5394"/>
          <w:rtl w:val="0"/>
        </w:rPr>
        <w:t xml:space="preserve">M. tuberculosis</w:t>
      </w: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rtl w:val="0"/>
        </w:rPr>
        <w:t xml:space="preserve"> durante a imunossupressão grave, seguida por uma ativação imune abrupta após a TARV.</w:t>
      </w:r>
    </w:p>
    <w:p w:rsidR="00000000" w:rsidDel="00000000" w:rsidP="00000000" w:rsidRDefault="00000000" w:rsidRPr="00000000" w14:paraId="00000013">
      <w:pPr>
        <w:spacing w:after="240" w:line="276" w:lineRule="auto"/>
        <w:rPr>
          <w:rFonts w:ascii="Arial" w:cs="Arial" w:eastAsia="Arial" w:hAnsi="Arial"/>
          <w:b w:val="1"/>
          <w:bCs w:val="1"/>
          <w:color w:val="0b53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="276" w:lineRule="auto"/>
        <w:rPr>
          <w:rFonts w:ascii="Arial" w:cs="Arial" w:eastAsia="Arial" w:hAnsi="Arial"/>
          <w:b w:val="1"/>
          <w:bCs w:val="1"/>
          <w:color w:val="0b539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rtl w:val="0"/>
        </w:rPr>
        <w:t xml:space="preserve">Resumo: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line="276" w:lineRule="auto"/>
        <w:ind w:left="720" w:hanging="360"/>
        <w:rPr>
          <w:b w:val="1"/>
          <w:bCs w:val="1"/>
          <w:color w:val="0b539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rtl w:val="0"/>
        </w:rPr>
        <w:t xml:space="preserve">Apresentação do Caso: Apresentamos um caso raro e complexo de uma mulher de 51 anos vivendo com HIV (contagem de CD4: 51 $células/\mu L$) que apresentou uma série de eventos sequenciais de TB-IRIS em múltiplos locais. Após 32 dias de TARV, ela desenvolveu TB pulmonar por desmascaramento. Seguiu-se, 48 dias depois, um evento na porta hepática com icterícia e linfonodos periportais. Após reiniciar a TARV, sofreu convulsões focais devido a um tuberculoma cerebral (IRIS do sistema nervoso central). Finalmente, meses após concluir o tratamento anti-TB, desenvolveu um abscesso intramuscular na fossa ilíaca esquerda.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line="276" w:lineRule="auto"/>
        <w:ind w:left="720" w:hanging="360"/>
        <w:rPr>
          <w:b w:val="1"/>
          <w:bCs w:val="1"/>
          <w:color w:val="0b539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rtl w:val="0"/>
        </w:rPr>
        <w:t xml:space="preserve">Conclusão: Esta apresentação multifocal e sucessiva de TB-IRIS destaca a extrema complexidade clínica no diagnóstico e manejo de pacientes gravemente imunossuprimidos. A interrupção da TARV e a penetração de drogas em órgãos específicos são fatores críticos a serem considerados nesses cenários.</w:t>
      </w:r>
    </w:p>
    <w:p w:rsidR="00000000" w:rsidDel="00000000" w:rsidP="00000000" w:rsidRDefault="00000000" w:rsidRPr="00000000" w14:paraId="00000017">
      <w:pPr>
        <w:spacing w:after="240" w:line="276" w:lineRule="auto"/>
        <w:rPr>
          <w:rFonts w:ascii="Arial" w:cs="Arial" w:eastAsia="Arial" w:hAnsi="Arial"/>
          <w:color w:val="0b539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rtl w:val="0"/>
        </w:rPr>
        <w:t xml:space="preserve">Palavras-chave: </w:t>
      </w:r>
      <w:r w:rsidDel="00000000" w:rsidR="00000000" w:rsidRPr="00000000">
        <w:rPr>
          <w:rFonts w:ascii="Arial" w:cs="Arial" w:eastAsia="Arial" w:hAnsi="Arial"/>
          <w:color w:val="0b5394"/>
          <w:rtl w:val="0"/>
        </w:rPr>
        <w:t xml:space="preserve">Síndrome de reconstituição imune inflamatória, IRIS, Tuberculose, HIV.</w:t>
      </w:r>
    </w:p>
    <w:p w:rsidR="00000000" w:rsidDel="00000000" w:rsidP="00000000" w:rsidRDefault="00000000" w:rsidRPr="00000000" w14:paraId="00000018">
      <w:pPr>
        <w:spacing w:after="240" w:line="276" w:lineRule="auto"/>
        <w:rPr>
          <w:rFonts w:ascii="Arial" w:cs="Arial" w:eastAsia="Arial" w:hAnsi="Arial"/>
          <w:b w:val="1"/>
          <w:bCs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rynqvb" w:customStyle="1">
    <w:name w:val="rynqvb"/>
    <w:basedOn w:val="Fontepargpadro"/>
    <w:rsid w:val="00EE5AB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AxEzkW/tPNcOGWX/s6DYhkIHTg==">CgMxLjA4AHIhMXY1VUF5dUFTVTV4VXR5ODJmX2NwdGdqSTVxaVJjNXJ3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2023-11-28T15:21:00Z</dcterms:created>
  <dc:creator>fernanda27585</dc:creator>
</cp:coreProperties>
</file>