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76" w:lineRule="auto"/>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2019</w:t>
      </w:r>
    </w:p>
    <w:p w:rsidR="00000000" w:rsidDel="00000000" w:rsidP="00000000" w:rsidRDefault="00000000" w:rsidRPr="00000000" w14:paraId="00000002">
      <w:pPr>
        <w:spacing w:after="240" w:before="240" w:lineRule="auto"/>
        <w:rPr>
          <w:rFonts w:ascii="Arial" w:cs="Arial" w:eastAsia="Arial" w:hAnsi="Arial"/>
          <w:b w:val="1"/>
          <w:bCs w:val="1"/>
          <w:sz w:val="30"/>
          <w:szCs w:val="30"/>
        </w:rPr>
      </w:pPr>
      <w:r w:rsidDel="00000000" w:rsidR="00000000" w:rsidRPr="00000000">
        <w:rPr>
          <w:rtl w:val="0"/>
        </w:rPr>
      </w:r>
    </w:p>
    <w:p w:rsidR="00000000" w:rsidDel="00000000" w:rsidP="00000000" w:rsidRDefault="00000000" w:rsidRPr="00000000" w14:paraId="00000003">
      <w:pPr>
        <w:pStyle w:val="Heading3"/>
        <w:keepNext w:val="0"/>
        <w:keepLines w:val="0"/>
        <w:rPr>
          <w:rFonts w:ascii="Arial" w:cs="Arial" w:eastAsia="Arial" w:hAnsi="Arial"/>
          <w:sz w:val="30"/>
          <w:szCs w:val="30"/>
        </w:rPr>
      </w:pPr>
      <w:bookmarkStart w:colFirst="0" w:colLast="0" w:name="_heading=h.5ikwcac5vsf3" w:id="0"/>
      <w:bookmarkEnd w:id="0"/>
      <w:r w:rsidDel="00000000" w:rsidR="00000000" w:rsidRPr="00000000">
        <w:rPr>
          <w:rFonts w:ascii="Arial" w:cs="Arial" w:eastAsia="Arial" w:hAnsi="Arial"/>
          <w:sz w:val="30"/>
          <w:szCs w:val="30"/>
          <w:rtl w:val="0"/>
        </w:rPr>
        <w:t xml:space="preserve">Changes in inflammatory protein and lipid mediator profiles persist after antitubercular treatment of pulmonary and extrapulmonary tuberculosis: A prospective cohort study</w:t>
      </w:r>
    </w:p>
    <w:p w:rsidR="00000000" w:rsidDel="00000000" w:rsidP="00000000" w:rsidRDefault="00000000" w:rsidRPr="00000000" w14:paraId="00000004">
      <w:pPr>
        <w:spacing w:after="240" w:before="240" w:lineRule="auto"/>
        <w:rPr>
          <w:rFonts w:ascii="Arial" w:cs="Arial" w:eastAsia="Arial" w:hAnsi="Arial"/>
          <w:b w:val="1"/>
          <w:bCs w:val="1"/>
          <w:sz w:val="30"/>
          <w:szCs w:val="30"/>
        </w:rPr>
      </w:pPr>
      <w:r w:rsidDel="00000000" w:rsidR="00000000" w:rsidRPr="00000000">
        <w:rPr>
          <w:rtl w:val="0"/>
        </w:rPr>
      </w:r>
    </w:p>
    <w:p w:rsidR="00000000" w:rsidDel="00000000" w:rsidP="00000000" w:rsidRDefault="00000000" w:rsidRPr="00000000" w14:paraId="00000005">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Background:</w:t>
      </w:r>
    </w:p>
    <w:p w:rsidR="00000000" w:rsidDel="00000000" w:rsidP="00000000" w:rsidRDefault="00000000" w:rsidRPr="00000000" w14:paraId="00000006">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 Active pulmonary tuberculosis (PTB) is known to cause qualitative and quantitative changes in the systemic immune profile, resulting in a chronic inflammatory imbalance. However, less is understood about these profiles in extrapulmonary tuberculosis (EPTB). Identifying meaningful biomarkers is essential for improving diagnosis, disease staging, and predicting treatment outcomes.</w:t>
      </w:r>
    </w:p>
    <w:p w:rsidR="00000000" w:rsidDel="00000000" w:rsidP="00000000" w:rsidRDefault="00000000" w:rsidRPr="00000000" w14:paraId="00000007">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Abstract:</w:t>
      </w:r>
    </w:p>
    <w:p w:rsidR="00000000" w:rsidDel="00000000" w:rsidP="00000000" w:rsidRDefault="00000000" w:rsidRPr="00000000" w14:paraId="00000008">
      <w:pPr>
        <w:numPr>
          <w:ilvl w:val="0"/>
          <w:numId w:val="1"/>
        </w:numPr>
        <w:spacing w:after="0" w:afterAutospacing="0" w:line="276" w:lineRule="auto"/>
        <w:ind w:left="720" w:hanging="360"/>
        <w:rPr>
          <w:b w:val="1"/>
          <w:bCs w:val="1"/>
        </w:rPr>
      </w:pPr>
      <w:r w:rsidDel="00000000" w:rsidR="00000000" w:rsidRPr="00000000">
        <w:rPr>
          <w:rFonts w:ascii="Arial" w:cs="Arial" w:eastAsia="Arial" w:hAnsi="Arial"/>
          <w:b w:val="1"/>
          <w:bCs w:val="1"/>
          <w:rtl w:val="0"/>
        </w:rPr>
        <w:t xml:space="preserve">Methods: We measured a panel of 27 inflammatory cytokines, soluble receptors, and lipid mediators in the peripheral blood of PTB ($n=94$) and EPTB ($n=50$) patients from a prospective cohort in China. Samples were collected before treatment and at weeks 2, 8, and 24 of antitubercular therapy (ATT).</w:t>
      </w:r>
    </w:p>
    <w:p w:rsidR="00000000" w:rsidDel="00000000" w:rsidP="00000000" w:rsidRDefault="00000000" w:rsidRPr="00000000" w14:paraId="00000009">
      <w:pPr>
        <w:numPr>
          <w:ilvl w:val="0"/>
          <w:numId w:val="1"/>
        </w:numPr>
        <w:spacing w:after="0" w:afterAutospacing="0" w:line="276" w:lineRule="auto"/>
        <w:ind w:left="720" w:hanging="360"/>
        <w:rPr>
          <w:b w:val="1"/>
          <w:bCs w:val="1"/>
        </w:rPr>
      </w:pPr>
      <w:r w:rsidDel="00000000" w:rsidR="00000000" w:rsidRPr="00000000">
        <w:rPr>
          <w:rFonts w:ascii="Arial" w:cs="Arial" w:eastAsia="Arial" w:hAnsi="Arial"/>
          <w:b w:val="1"/>
          <w:bCs w:val="1"/>
          <w:rtl w:val="0"/>
        </w:rPr>
        <w:t xml:space="preserve">Results: </w:t>
      </w:r>
      <w:r w:rsidDel="00000000" w:rsidR="00000000" w:rsidRPr="00000000">
        <w:rPr>
          <w:rFonts w:ascii="Arial" w:cs="Arial" w:eastAsia="Arial" w:hAnsi="Arial"/>
          <w:b w:val="1"/>
          <w:bCs w:val="1"/>
          <w:i w:val="1"/>
          <w:iCs w:val="1"/>
          <w:rtl w:val="0"/>
        </w:rPr>
        <w:t xml:space="preserve">M. tuberculosis</w:t>
      </w:r>
      <w:r w:rsidDel="00000000" w:rsidR="00000000" w:rsidRPr="00000000">
        <w:rPr>
          <w:rFonts w:ascii="Arial" w:cs="Arial" w:eastAsia="Arial" w:hAnsi="Arial"/>
          <w:b w:val="1"/>
          <w:bCs w:val="1"/>
          <w:rtl w:val="0"/>
        </w:rPr>
        <w:t xml:space="preserve"> infection induced distinct expression and correlation profiles in PTB compared to EPTB. High mycobacterial loads in sputum were linked to increased IL-1$\beta$, IFN-$\alpha$, IL-10, and PGF2$\alpha$. While ATT triggered early changes in plasma markers for PTB patients (as early as 2 weeks), these responses were delayed in EPTB patients. Exploratory analyses showed a persistent "inflammatory imprinting," with 89.7% of PTB and 94.7% of EPTB patients still molecularly perturbed after 24 weeks of treatment.</w:t>
      </w:r>
    </w:p>
    <w:p w:rsidR="00000000" w:rsidDel="00000000" w:rsidP="00000000" w:rsidRDefault="00000000" w:rsidRPr="00000000" w14:paraId="0000000A">
      <w:pPr>
        <w:numPr>
          <w:ilvl w:val="0"/>
          <w:numId w:val="1"/>
        </w:numPr>
        <w:spacing w:after="240" w:line="276" w:lineRule="auto"/>
        <w:ind w:left="720" w:hanging="360"/>
        <w:rPr>
          <w:b w:val="1"/>
          <w:bCs w:val="1"/>
        </w:rPr>
      </w:pPr>
      <w:r w:rsidDel="00000000" w:rsidR="00000000" w:rsidRPr="00000000">
        <w:rPr>
          <w:rFonts w:ascii="Arial" w:cs="Arial" w:eastAsia="Arial" w:hAnsi="Arial"/>
          <w:b w:val="1"/>
          <w:bCs w:val="1"/>
          <w:rtl w:val="0"/>
        </w:rPr>
        <w:t xml:space="preserve">Conclusion: These findings highlight systemic and durable changes in inflammatory profiles that persist despite successful treatment, emphasized by the role of bacterial burden and disease site in modulating immune biomarkers.</w:t>
      </w:r>
    </w:p>
    <w:p w:rsidR="00000000" w:rsidDel="00000000" w:rsidP="00000000" w:rsidRDefault="00000000" w:rsidRPr="00000000" w14:paraId="0000000B">
      <w:pPr>
        <w:spacing w:after="240" w:line="276" w:lineRule="auto"/>
        <w:rPr>
          <w:rFonts w:ascii="Arial" w:cs="Arial" w:eastAsia="Arial" w:hAnsi="Arial"/>
        </w:rPr>
      </w:pPr>
      <w:r w:rsidDel="00000000" w:rsidR="00000000" w:rsidRPr="00000000">
        <w:rPr>
          <w:rFonts w:ascii="Arial" w:cs="Arial" w:eastAsia="Arial" w:hAnsi="Arial"/>
          <w:b w:val="1"/>
          <w:bCs w:val="1"/>
          <w:rtl w:val="0"/>
        </w:rPr>
        <w:t xml:space="preserve">Keywords: </w:t>
      </w:r>
      <w:r w:rsidDel="00000000" w:rsidR="00000000" w:rsidRPr="00000000">
        <w:rPr>
          <w:rFonts w:ascii="Arial" w:cs="Arial" w:eastAsia="Arial" w:hAnsi="Arial"/>
          <w:rtl w:val="0"/>
        </w:rPr>
        <w:t xml:space="preserve">Cytokines; Lipid mediator; Inflammation; </w:t>
      </w:r>
      <w:r w:rsidDel="00000000" w:rsidR="00000000" w:rsidRPr="00000000">
        <w:rPr>
          <w:rFonts w:ascii="Arial" w:cs="Arial" w:eastAsia="Arial" w:hAnsi="Arial"/>
          <w:i w:val="1"/>
          <w:iCs w:val="1"/>
          <w:rtl w:val="0"/>
        </w:rPr>
        <w:t xml:space="preserve">Mycobacterium tuberculosis</w:t>
      </w:r>
      <w:r w:rsidDel="00000000" w:rsidR="00000000" w:rsidRPr="00000000">
        <w:rPr>
          <w:rFonts w:ascii="Arial" w:cs="Arial" w:eastAsia="Arial" w:hAnsi="Arial"/>
          <w:rtl w:val="0"/>
        </w:rPr>
        <w:t xml:space="preserve">; Acid-fast bacilli; Extrapulmonary tuberculosis.</w:t>
      </w:r>
    </w:p>
    <w:p w:rsidR="00000000" w:rsidDel="00000000" w:rsidP="00000000" w:rsidRDefault="00000000" w:rsidRPr="00000000" w14:paraId="0000000C">
      <w:pPr>
        <w:spacing w:after="240" w:befor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D">
      <w:pPr>
        <w:spacing w:after="240" w:befor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E">
      <w:pPr>
        <w:spacing w:after="240" w:before="240" w:lineRule="auto"/>
        <w:rPr>
          <w:rFonts w:ascii="Arial" w:cs="Arial" w:eastAsia="Arial" w:hAnsi="Arial"/>
          <w:b w:val="1"/>
          <w:bCs w:val="1"/>
          <w:color w:val="0b5394"/>
          <w:sz w:val="28"/>
          <w:szCs w:val="28"/>
        </w:rPr>
      </w:pPr>
      <w:r w:rsidDel="00000000" w:rsidR="00000000" w:rsidRPr="00000000">
        <w:rPr>
          <w:rFonts w:ascii="Arial" w:cs="Arial" w:eastAsia="Arial" w:hAnsi="Arial"/>
          <w:b w:val="1"/>
          <w:bCs w:val="1"/>
          <w:color w:val="0b5394"/>
          <w:sz w:val="28"/>
          <w:szCs w:val="28"/>
          <w:rtl w:val="0"/>
        </w:rPr>
        <w:t xml:space="preserve">Mudanças nos perfis de proteínas inflamatórias e mediadores lipídicos persistem após o tratamento antituberculose de tuberculose pulmonar e extrapulmonar: Um estudo de coorte prospectivo</w:t>
      </w:r>
    </w:p>
    <w:p w:rsidR="00000000" w:rsidDel="00000000" w:rsidP="00000000" w:rsidRDefault="00000000" w:rsidRPr="00000000" w14:paraId="0000000F">
      <w:pPr>
        <w:spacing w:after="240" w:before="240" w:lineRule="auto"/>
        <w:rPr>
          <w:rFonts w:ascii="Arial" w:cs="Arial" w:eastAsia="Arial" w:hAnsi="Arial"/>
          <w:b w:val="1"/>
          <w:bCs w:val="1"/>
          <w:color w:val="0b5394"/>
        </w:rPr>
      </w:pPr>
      <w:r w:rsidDel="00000000" w:rsidR="00000000" w:rsidRPr="00000000">
        <w:rPr>
          <w:rtl w:val="0"/>
        </w:rPr>
      </w:r>
    </w:p>
    <w:p w:rsidR="00000000" w:rsidDel="00000000" w:rsidP="00000000" w:rsidRDefault="00000000" w:rsidRPr="00000000" w14:paraId="00000010">
      <w:pPr>
        <w:spacing w:after="240" w:line="276" w:lineRule="auto"/>
        <w:rPr>
          <w:rFonts w:ascii="Arial" w:cs="Arial" w:eastAsia="Arial" w:hAnsi="Arial"/>
          <w:b w:val="1"/>
          <w:bCs w:val="1"/>
          <w:color w:val="0b5394"/>
        </w:rPr>
      </w:pPr>
      <w:r w:rsidDel="00000000" w:rsidR="00000000" w:rsidRPr="00000000">
        <w:rPr>
          <w:rFonts w:ascii="Arial" w:cs="Arial" w:eastAsia="Arial" w:hAnsi="Arial"/>
          <w:b w:val="1"/>
          <w:bCs w:val="1"/>
          <w:color w:val="0b5394"/>
          <w:rtl w:val="0"/>
        </w:rPr>
        <w:t xml:space="preserve">Contexto:</w:t>
      </w:r>
    </w:p>
    <w:p w:rsidR="00000000" w:rsidDel="00000000" w:rsidP="00000000" w:rsidRDefault="00000000" w:rsidRPr="00000000" w14:paraId="00000011">
      <w:pPr>
        <w:spacing w:after="240" w:line="276" w:lineRule="auto"/>
        <w:rPr>
          <w:rFonts w:ascii="Arial" w:cs="Arial" w:eastAsia="Arial" w:hAnsi="Arial"/>
          <w:b w:val="1"/>
          <w:bCs w:val="1"/>
          <w:color w:val="0b5394"/>
        </w:rPr>
      </w:pPr>
      <w:r w:rsidDel="00000000" w:rsidR="00000000" w:rsidRPr="00000000">
        <w:rPr>
          <w:rFonts w:ascii="Arial" w:cs="Arial" w:eastAsia="Arial" w:hAnsi="Arial"/>
          <w:b w:val="1"/>
          <w:bCs w:val="1"/>
          <w:color w:val="0b5394"/>
          <w:rtl w:val="0"/>
        </w:rPr>
        <w:t xml:space="preserve">Sabe-se que a tuberculose pulmonar (TBP) ativa causa mudanças qualitativas e quantitativas no perfil imunológico sistêmico, resultando em um desequilíbrio inflamatório crônico. No entanto, compreende-se menos sobre esses perfis na tuberculose extrapulmonar (TBEP). A identificação de biomarcadores significativos é essencial para melhorar o diagnóstico, o estadiamento da doença e a previsão dos desfechos do tratamento.</w:t>
      </w:r>
    </w:p>
    <w:p w:rsidR="00000000" w:rsidDel="00000000" w:rsidP="00000000" w:rsidRDefault="00000000" w:rsidRPr="00000000" w14:paraId="00000012">
      <w:pPr>
        <w:spacing w:after="240" w:line="276" w:lineRule="auto"/>
        <w:rPr>
          <w:rFonts w:ascii="Arial" w:cs="Arial" w:eastAsia="Arial" w:hAnsi="Arial"/>
          <w:b w:val="1"/>
          <w:bCs w:val="1"/>
          <w:color w:val="0b5394"/>
        </w:rPr>
      </w:pPr>
      <w:r w:rsidDel="00000000" w:rsidR="00000000" w:rsidRPr="00000000">
        <w:rPr>
          <w:rFonts w:ascii="Arial" w:cs="Arial" w:eastAsia="Arial" w:hAnsi="Arial"/>
          <w:b w:val="1"/>
          <w:bCs w:val="1"/>
          <w:color w:val="0b5394"/>
          <w:rtl w:val="0"/>
        </w:rPr>
        <w:t xml:space="preserve">Resumo:</w:t>
      </w:r>
    </w:p>
    <w:p w:rsidR="00000000" w:rsidDel="00000000" w:rsidP="00000000" w:rsidRDefault="00000000" w:rsidRPr="00000000" w14:paraId="00000013">
      <w:pPr>
        <w:numPr>
          <w:ilvl w:val="0"/>
          <w:numId w:val="2"/>
        </w:numPr>
        <w:spacing w:after="0" w:afterAutospacing="0" w:line="276" w:lineRule="auto"/>
        <w:ind w:left="720" w:hanging="360"/>
        <w:rPr>
          <w:b w:val="1"/>
          <w:bCs w:val="1"/>
          <w:color w:val="0b5394"/>
        </w:rPr>
      </w:pPr>
      <w:r w:rsidDel="00000000" w:rsidR="00000000" w:rsidRPr="00000000">
        <w:rPr>
          <w:rFonts w:ascii="Arial" w:cs="Arial" w:eastAsia="Arial" w:hAnsi="Arial"/>
          <w:b w:val="1"/>
          <w:bCs w:val="1"/>
          <w:color w:val="0b5394"/>
          <w:rtl w:val="0"/>
        </w:rPr>
        <w:t xml:space="preserve">Métodos: Medimos um painel de 27 citocinas inflamatórias, receptores solúveis e mediadores lipídicos no sangue periférico de pacientes com TBP ($n=94$) e TBEP ($n=50$) de uma coorte prospectiva na China. As amostras foram coletadas antes do tratamento e nas semanas 2, 8 e 24 da terapia antituberculose (ATT).</w:t>
      </w:r>
    </w:p>
    <w:p w:rsidR="00000000" w:rsidDel="00000000" w:rsidP="00000000" w:rsidRDefault="00000000" w:rsidRPr="00000000" w14:paraId="00000014">
      <w:pPr>
        <w:numPr>
          <w:ilvl w:val="0"/>
          <w:numId w:val="2"/>
        </w:numPr>
        <w:spacing w:after="0" w:afterAutospacing="0" w:line="276" w:lineRule="auto"/>
        <w:ind w:left="720" w:hanging="360"/>
        <w:rPr>
          <w:b w:val="1"/>
          <w:bCs w:val="1"/>
          <w:color w:val="0b5394"/>
        </w:rPr>
      </w:pPr>
      <w:r w:rsidDel="00000000" w:rsidR="00000000" w:rsidRPr="00000000">
        <w:rPr>
          <w:rFonts w:ascii="Arial" w:cs="Arial" w:eastAsia="Arial" w:hAnsi="Arial"/>
          <w:b w:val="1"/>
          <w:bCs w:val="1"/>
          <w:color w:val="0b5394"/>
          <w:rtl w:val="0"/>
        </w:rPr>
        <w:t xml:space="preserve">Resultados: A infecção por </w:t>
      </w:r>
      <w:r w:rsidDel="00000000" w:rsidR="00000000" w:rsidRPr="00000000">
        <w:rPr>
          <w:rFonts w:ascii="Arial" w:cs="Arial" w:eastAsia="Arial" w:hAnsi="Arial"/>
          <w:b w:val="1"/>
          <w:bCs w:val="1"/>
          <w:i w:val="1"/>
          <w:iCs w:val="1"/>
          <w:color w:val="0b5394"/>
          <w:rtl w:val="0"/>
        </w:rPr>
        <w:t xml:space="preserve">M. tuberculosis</w:t>
      </w:r>
      <w:r w:rsidDel="00000000" w:rsidR="00000000" w:rsidRPr="00000000">
        <w:rPr>
          <w:rFonts w:ascii="Arial" w:cs="Arial" w:eastAsia="Arial" w:hAnsi="Arial"/>
          <w:b w:val="1"/>
          <w:bCs w:val="1"/>
          <w:color w:val="0b5394"/>
          <w:rtl w:val="0"/>
        </w:rPr>
        <w:t xml:space="preserve"> induziu perfis de expressão e correlação distintos na TBP em comparação com a TBEP. Altas cargas micobacterianas no escarro foram ligadas ao aumento de IL-1$\beta$, IFN-$\alpha$, IL-10 e PGF2$\alpha$. Enquanto a ATT desencadeou mudanças precoces nos marcadores plasmáticos em pacientes com TBP (já na 2ª semana), essas respostas foram tardias em pacientes com TBEP. Análises exploratórias mostraram uma "assinatura inflamatória" persistente, com 89,7% dos pacientes com TBP e 94,7% com TBEP ainda apresentando perturbação molecular após 24 semanas de tratamento.</w:t>
      </w:r>
    </w:p>
    <w:p w:rsidR="00000000" w:rsidDel="00000000" w:rsidP="00000000" w:rsidRDefault="00000000" w:rsidRPr="00000000" w14:paraId="00000015">
      <w:pPr>
        <w:numPr>
          <w:ilvl w:val="0"/>
          <w:numId w:val="2"/>
        </w:numPr>
        <w:spacing w:after="240" w:line="276" w:lineRule="auto"/>
        <w:ind w:left="720" w:hanging="360"/>
        <w:rPr>
          <w:b w:val="1"/>
          <w:bCs w:val="1"/>
          <w:color w:val="0b5394"/>
        </w:rPr>
      </w:pPr>
      <w:r w:rsidDel="00000000" w:rsidR="00000000" w:rsidRPr="00000000">
        <w:rPr>
          <w:rFonts w:ascii="Arial" w:cs="Arial" w:eastAsia="Arial" w:hAnsi="Arial"/>
          <w:b w:val="1"/>
          <w:bCs w:val="1"/>
          <w:color w:val="0b5394"/>
          <w:rtl w:val="0"/>
        </w:rPr>
        <w:t xml:space="preserve">Conclusão: Nossos achados descrevem mudanças sistêmicas e duradouras nos perfis inflamatórios que persistem apesar do tratamento bem-sucedido, enfatizando o papel da carga bacteriana e do local da doença na modulação dos biomarcadores imunológicos.</w:t>
      </w:r>
    </w:p>
    <w:p w:rsidR="00000000" w:rsidDel="00000000" w:rsidP="00000000" w:rsidRDefault="00000000" w:rsidRPr="00000000" w14:paraId="00000016">
      <w:pPr>
        <w:spacing w:after="240" w:line="276" w:lineRule="auto"/>
        <w:rPr>
          <w:rFonts w:ascii="Arial" w:cs="Arial" w:eastAsia="Arial" w:hAnsi="Arial"/>
          <w:color w:val="0b5394"/>
        </w:rPr>
      </w:pPr>
      <w:r w:rsidDel="00000000" w:rsidR="00000000" w:rsidRPr="00000000">
        <w:rPr>
          <w:rFonts w:ascii="Arial" w:cs="Arial" w:eastAsia="Arial" w:hAnsi="Arial"/>
          <w:b w:val="1"/>
          <w:bCs w:val="1"/>
          <w:color w:val="0b5394"/>
          <w:rtl w:val="0"/>
        </w:rPr>
        <w:t xml:space="preserve">Palavras-chave: </w:t>
      </w:r>
      <w:r w:rsidDel="00000000" w:rsidR="00000000" w:rsidRPr="00000000">
        <w:rPr>
          <w:rFonts w:ascii="Arial" w:cs="Arial" w:eastAsia="Arial" w:hAnsi="Arial"/>
          <w:color w:val="0b5394"/>
          <w:rtl w:val="0"/>
        </w:rPr>
        <w:t xml:space="preserve">Citocinas; Mediador lipídico; Inflamação; </w:t>
      </w:r>
      <w:r w:rsidDel="00000000" w:rsidR="00000000" w:rsidRPr="00000000">
        <w:rPr>
          <w:rFonts w:ascii="Arial" w:cs="Arial" w:eastAsia="Arial" w:hAnsi="Arial"/>
          <w:i w:val="1"/>
          <w:iCs w:val="1"/>
          <w:color w:val="0b5394"/>
          <w:rtl w:val="0"/>
        </w:rPr>
        <w:t xml:space="preserve">Mycobacterium tuberculosis</w:t>
      </w:r>
      <w:r w:rsidDel="00000000" w:rsidR="00000000" w:rsidRPr="00000000">
        <w:rPr>
          <w:rFonts w:ascii="Arial" w:cs="Arial" w:eastAsia="Arial" w:hAnsi="Arial"/>
          <w:color w:val="0b5394"/>
          <w:rtl w:val="0"/>
        </w:rPr>
        <w:t xml:space="preserve">; Bacilos álcool-ácido resistentes; Tuberculose extrapulmonar.</w:t>
      </w:r>
    </w:p>
    <w:p w:rsidR="00000000" w:rsidDel="00000000" w:rsidP="00000000" w:rsidRDefault="00000000" w:rsidRPr="00000000" w14:paraId="00000017">
      <w:pPr>
        <w:spacing w:after="240" w:befor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8">
      <w:pPr>
        <w:spacing w:after="240" w:line="276" w:lineRule="auto"/>
        <w:rPr>
          <w:rFonts w:ascii="Arial" w:cs="Arial" w:eastAsia="Arial" w:hAnsi="Arial"/>
          <w:b w:val="1"/>
          <w:bCs w:val="1"/>
          <w:color w:val="0b5394"/>
          <w:sz w:val="24"/>
          <w:szCs w:val="24"/>
        </w:rPr>
      </w:pPr>
      <w:r w:rsidDel="00000000" w:rsidR="00000000" w:rsidRPr="00000000">
        <w:rPr>
          <w:rtl w:val="0"/>
        </w:rPr>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rynqvb" w:customStyle="1">
    <w:name w:val="rynqvb"/>
    <w:basedOn w:val="Fontepargpadro"/>
    <w:rsid w:val="00EE5AB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Bad6IKFXuWrcCUV91Vvv52mxCw==">CgMxLjAyDmguNWlrd2NhYzV2c2YzOAByITFISU1ISFNXUDU5c3lhUjh1anpsWHRKOEZVNTdrNHlxWA==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2023-11-28T15:21:00Z</dcterms:created>
  <dc:creator>fernanda27585</dc:creator>
</cp:coreProperties>
</file>