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URWPalladioL-Bold" w:cs="URWPalladioL-Bold" w:eastAsia="URWPalladioL-Bold" w:hAnsi="URWPalladioL-Bold"/>
          <w:b w:val="1"/>
          <w:bCs w:val="1"/>
          <w:sz w:val="28"/>
          <w:szCs w:val="28"/>
        </w:rPr>
      </w:pPr>
      <w:r w:rsidDel="00000000" w:rsidR="00000000" w:rsidRPr="00000000">
        <w:rPr>
          <w:rFonts w:ascii="URWPalladioL-Bold" w:cs="URWPalladioL-Bold" w:eastAsia="URWPalladioL-Bold" w:hAnsi="URWPalladioL-Bold"/>
          <w:b w:val="1"/>
          <w:bCs w:val="1"/>
          <w:sz w:val="28"/>
          <w:szCs w:val="28"/>
          <w:rtl w:val="0"/>
        </w:rPr>
        <w:t xml:space="preserve">Evaluation of CoronaVac and CoviShield Vaccines on</w:t>
      </w:r>
    </w:p>
    <w:p w:rsidR="00000000" w:rsidDel="00000000" w:rsidP="00000000" w:rsidRDefault="00000000" w:rsidRPr="00000000" w14:paraId="00000002">
      <w:pPr>
        <w:spacing w:after="0" w:line="240" w:lineRule="auto"/>
        <w:rPr>
          <w:rFonts w:ascii="URWPalladioL-Bold" w:cs="URWPalladioL-Bold" w:eastAsia="URWPalladioL-Bold" w:hAnsi="URWPalladioL-Bold"/>
          <w:b w:val="1"/>
          <w:bCs w:val="1"/>
          <w:sz w:val="28"/>
          <w:szCs w:val="28"/>
        </w:rPr>
      </w:pPr>
      <w:r w:rsidDel="00000000" w:rsidR="00000000" w:rsidRPr="00000000">
        <w:rPr>
          <w:rFonts w:ascii="URWPalladioL-Bold" w:cs="URWPalladioL-Bold" w:eastAsia="URWPalladioL-Bold" w:hAnsi="URWPalladioL-Bold"/>
          <w:b w:val="1"/>
          <w:bCs w:val="1"/>
          <w:sz w:val="28"/>
          <w:szCs w:val="28"/>
          <w:rtl w:val="0"/>
        </w:rPr>
        <w:t xml:space="preserve">SARS-CoV-2 Infection in Healthcare Workers in</w:t>
      </w:r>
    </w:p>
    <w:p w:rsidR="00000000" w:rsidDel="00000000" w:rsidP="00000000" w:rsidRDefault="00000000" w:rsidRPr="00000000" w14:paraId="00000003">
      <w:pPr>
        <w:rPr>
          <w:rFonts w:ascii="URWPalladioL-Bold" w:cs="URWPalladioL-Bold" w:eastAsia="URWPalladioL-Bold" w:hAnsi="URWPalladioL-Bold"/>
          <w:b w:val="1"/>
          <w:bCs w:val="1"/>
          <w:sz w:val="28"/>
          <w:szCs w:val="28"/>
        </w:rPr>
      </w:pPr>
      <w:r w:rsidDel="00000000" w:rsidR="00000000" w:rsidRPr="00000000">
        <w:rPr>
          <w:rFonts w:ascii="URWPalladioL-Bold" w:cs="URWPalladioL-Bold" w:eastAsia="URWPalladioL-Bold" w:hAnsi="URWPalladioL-Bold"/>
          <w:b w:val="1"/>
          <w:bCs w:val="1"/>
          <w:sz w:val="28"/>
          <w:szCs w:val="28"/>
          <w:rtl w:val="0"/>
        </w:rPr>
        <w:t xml:space="preserve">Salvador, Brazil</w:t>
      </w:r>
    </w:p>
    <w:p w:rsidR="00000000" w:rsidDel="00000000" w:rsidP="00000000" w:rsidRDefault="00000000" w:rsidRPr="00000000" w14:paraId="00000004">
      <w:pPr>
        <w:spacing w:after="0" w:line="240" w:lineRule="auto"/>
        <w:rPr>
          <w:rFonts w:ascii="URWPalladioL-Roma" w:cs="URWPalladioL-Roma" w:eastAsia="URWPalladioL-Roma" w:hAnsi="URWPalladioL-Roma"/>
          <w:sz w:val="18"/>
          <w:szCs w:val="18"/>
        </w:rPr>
      </w:pPr>
      <w:r w:rsidDel="00000000" w:rsidR="00000000" w:rsidRPr="00000000">
        <w:rPr>
          <w:rFonts w:ascii="Arial" w:cs="Arial" w:eastAsia="Arial" w:hAnsi="Arial"/>
          <w:b w:val="1"/>
          <w:bCs w:val="1"/>
          <w:sz w:val="24"/>
          <w:szCs w:val="24"/>
          <w:rtl w:val="0"/>
        </w:rPr>
        <w:t xml:space="preserve">Background: </w:t>
      </w:r>
      <w:r w:rsidDel="00000000" w:rsidR="00000000" w:rsidRPr="00000000">
        <w:rPr>
          <w:rFonts w:ascii="Arial" w:cs="Arial" w:eastAsia="Arial" w:hAnsi="Arial"/>
          <w:sz w:val="24"/>
          <w:szCs w:val="24"/>
          <w:rtl w:val="0"/>
        </w:rPr>
        <w:t xml:space="preserve">There are scarce data on the prevalence and disease presentation of HIV in patients with tuberculosis (TB) and dysglycemia (diabetes [DM] and prediabetes [PDM]), especially in TB-endemic countries.</w:t>
      </w:r>
      <w:r w:rsidDel="00000000" w:rsidR="00000000" w:rsidRPr="00000000">
        <w:rPr>
          <w:rFonts w:ascii="Arial" w:cs="Arial" w:eastAsia="Arial" w:hAnsi="Arial"/>
          <w:b w:val="1"/>
          <w:bCs w:val="1"/>
          <w:sz w:val="24"/>
          <w:szCs w:val="24"/>
          <w:rtl w:val="0"/>
        </w:rPr>
        <w:t xml:space="preserve">Methods: </w:t>
      </w:r>
      <w:r w:rsidDel="00000000" w:rsidR="00000000" w:rsidRPr="00000000">
        <w:rPr>
          <w:rFonts w:ascii="Arial" w:cs="Arial" w:eastAsia="Arial" w:hAnsi="Arial"/>
          <w:sz w:val="24"/>
          <w:szCs w:val="24"/>
          <w:rtl w:val="0"/>
        </w:rPr>
        <w:t xml:space="preserve">We assessed the baseline epidemiological and clinical characteristics of patients with culture-confirmed pulmonary TB, enrolled in a multicenter prospective cohort in Brazil (RePORT-Brazil) during 2015–2019. Dysglycemia was defined by elevated glycated hemoglobin and stratified as PDM or DM. Additionally, we used data from TB cases obtained through the Brazilian National Notifiable Diseases Information System (SINAN), during 2015–2019. In SINAN, diagnosis of diabetes was based on self-report. Logistic regression models were performed to test independent associations between HIV, dysglycemia status, and other baseline characteristics in both cohorts.</w:t>
      </w:r>
      <w:r w:rsidDel="00000000" w:rsidR="00000000" w:rsidRPr="00000000">
        <w:rPr>
          <w:rFonts w:ascii="URWPalladioL-Roma" w:cs="URWPalladioL-Roma" w:eastAsia="URWPalladioL-Roma" w:hAnsi="URWPalladioL-Roma"/>
          <w:sz w:val="18"/>
          <w:szCs w:val="18"/>
          <w:rtl w:val="0"/>
        </w:rPr>
        <w:br w:type="textWrapping"/>
      </w:r>
    </w:p>
    <w:p w:rsidR="00000000" w:rsidDel="00000000" w:rsidP="00000000" w:rsidRDefault="00000000" w:rsidRPr="00000000" w14:paraId="00000005">
      <w:pPr>
        <w:rPr>
          <w:rFonts w:ascii="URWPalladioL-Roma" w:cs="URWPalladioL-Roma" w:eastAsia="URWPalladioL-Roma" w:hAnsi="URWPalladioL-Roma"/>
          <w:sz w:val="18"/>
          <w:szCs w:val="18"/>
        </w:rPr>
      </w:pPr>
      <w:r w:rsidDel="00000000" w:rsidR="00000000" w:rsidRPr="00000000">
        <w:rPr>
          <w:rFonts w:ascii="URWPalladioL-Bold" w:cs="URWPalladioL-Bold" w:eastAsia="URWPalladioL-Bold" w:hAnsi="URWPalladioL-Bold"/>
          <w:b w:val="1"/>
          <w:bCs w:val="1"/>
          <w:sz w:val="18"/>
          <w:szCs w:val="18"/>
          <w:rtl w:val="0"/>
        </w:rPr>
        <w:t xml:space="preserve">Keywords: </w:t>
      </w:r>
      <w:r w:rsidDel="00000000" w:rsidR="00000000" w:rsidRPr="00000000">
        <w:rPr>
          <w:rFonts w:ascii="URWPalladioL-Roma" w:cs="URWPalladioL-Roma" w:eastAsia="URWPalladioL-Roma" w:hAnsi="URWPalladioL-Roma"/>
          <w:sz w:val="18"/>
          <w:szCs w:val="18"/>
          <w:rtl w:val="0"/>
        </w:rPr>
        <w:t xml:space="preserve">viral load; SARS-CoV-2; vaccines</w:t>
      </w:r>
    </w:p>
    <w:p w:rsidR="00000000" w:rsidDel="00000000" w:rsidP="00000000" w:rsidRDefault="00000000" w:rsidRPr="00000000" w14:paraId="00000006">
      <w:pPr>
        <w:rPr>
          <w:rFonts w:ascii="URWPalladioL-Roma" w:cs="URWPalladioL-Roma" w:eastAsia="URWPalladioL-Roma" w:hAnsi="URWPalladioL-Roma"/>
          <w:sz w:val="18"/>
          <w:szCs w:val="18"/>
        </w:rPr>
      </w:pPr>
      <w:r w:rsidDel="00000000" w:rsidR="00000000" w:rsidRPr="00000000">
        <w:rPr>
          <w:rtl w:val="0"/>
        </w:rPr>
      </w:r>
    </w:p>
    <w:p w:rsidR="00000000" w:rsidDel="00000000" w:rsidP="00000000" w:rsidRDefault="00000000" w:rsidRPr="00000000" w14:paraId="00000007">
      <w:pPr>
        <w:rPr>
          <w:color w:val="1f497d"/>
          <w:sz w:val="28"/>
          <w:szCs w:val="28"/>
        </w:rPr>
      </w:pPr>
      <w:r w:rsidDel="00000000" w:rsidR="00000000" w:rsidRPr="00000000">
        <w:rPr>
          <w:color w:val="1f497d"/>
          <w:sz w:val="28"/>
          <w:szCs w:val="28"/>
          <w:rtl w:val="0"/>
        </w:rPr>
        <w:t xml:space="preserve">Avaliação das vacinas CoronaVac e CoviShield em Infecção por SARS-CoV-2 em profissionais de saúde em Salvador, Brasil</w:t>
      </w:r>
    </w:p>
    <w:p w:rsidR="00000000" w:rsidDel="00000000" w:rsidP="00000000" w:rsidRDefault="00000000" w:rsidRPr="00000000" w14:paraId="00000008">
      <w:pPr>
        <w:rPr>
          <w:color w:val="1f497d"/>
        </w:rPr>
      </w:pPr>
      <w:r w:rsidDel="00000000" w:rsidR="00000000" w:rsidRPr="00000000">
        <w:rPr>
          <w:b w:val="1"/>
          <w:bCs w:val="1"/>
          <w:color w:val="1f497d"/>
          <w:rtl w:val="0"/>
        </w:rPr>
        <w:t xml:space="preserve">Resumo:</w:t>
      </w:r>
      <w:r w:rsidDel="00000000" w:rsidR="00000000" w:rsidRPr="00000000">
        <w:rPr>
          <w:color w:val="1f497d"/>
          <w:rtl w:val="0"/>
        </w:rPr>
        <w:t xml:space="preserve"> O surgimento e a rápida disseminação da variante Gama do SARS-CoV-2 no Brasil levantaram preocupações sobre a capacidade neutralizante das vacinas SARS-CoV-2 e o impacto na carga viral. Nosso estudo teve como objetivo avaliar a influência das vacinas CoviShield e CoronaVac no valor de Ct-N2 no pessoal da organização de saúde que sofreu infecção primária por SARS-CoV-2. Examinamos sessenta e três casos de COVID-19 notificados no primeiro semestre de 2021 e identificamos sintomas clínicos e características laboratoriais similares entre os indivíduos, independentemente da vacina que receberam. Surpreendentemente, nosso observações revelaram que as vacinas CoviShield e CoronaVac não tiveram impacto na carga viral ou no desenvolvimento e gravidade dos sintomas. Esses achados sugerem uma redução potencial na neutralização resposta e indicam a necessidade de considerar a incorporação de outras vacinas contra SARS-CoV-2 e manter medidas adicionais de contenção contra o SARS-CoV-2, uma vez que continuam a ser imperativas apesar esforços de vacinação.</w:t>
        <w:br w:type="textWrapping"/>
      </w:r>
      <w:r w:rsidDel="00000000" w:rsidR="00000000" w:rsidRPr="00000000">
        <w:rPr>
          <w:b w:val="1"/>
          <w:bCs w:val="1"/>
          <w:color w:val="1f497d"/>
          <w:rtl w:val="0"/>
        </w:rPr>
        <w:t xml:space="preserve">Palavras-chave</w:t>
      </w:r>
      <w:r w:rsidDel="00000000" w:rsidR="00000000" w:rsidRPr="00000000">
        <w:rPr>
          <w:color w:val="1f497d"/>
          <w:rtl w:val="0"/>
        </w:rPr>
        <w:t xml:space="preserve">: carga viral; SARS-CoV-2; vacinas</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URWPalladioL-Bold"/>
  <w:font w:name="URWPalladioL-Ro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rHU4v7ck+sT0aX1hT+MrjUwQg==">CgMxLjA4AHIhMUgtZEpFNmRDSTJMUkFEOTJtejJZMjl3aW5iY1hjS2xB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