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pStyle w:val="Heading3"/>
        <w:keepNext w:val="0"/>
        <w:keepLines w:val="0"/>
        <w:rPr>
          <w:rFonts w:ascii="Arial" w:cs="Arial" w:eastAsia="Arial" w:hAnsi="Arial"/>
          <w:sz w:val="26"/>
          <w:szCs w:val="26"/>
        </w:rPr>
      </w:pPr>
      <w:bookmarkStart w:colFirst="0" w:colLast="0" w:name="_heading=h.1l5s49hqc5cj" w:id="0"/>
      <w:bookmarkEnd w:id="0"/>
      <w:r w:rsidDel="00000000" w:rsidR="00000000" w:rsidRPr="00000000">
        <w:rPr>
          <w:rtl w:val="0"/>
        </w:rPr>
      </w:r>
    </w:p>
    <w:p w:rsidR="00000000" w:rsidDel="00000000" w:rsidP="00000000" w:rsidRDefault="00000000" w:rsidRPr="00000000" w14:paraId="00000003">
      <w:pPr>
        <w:spacing w:after="240" w:before="240"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Molecular degree of perturbation of plasma inflammatory markers associated with tuberculosis reveals distinct disease profiles between Indian and Chinese populations</w:t>
      </w:r>
    </w:p>
    <w:p w:rsidR="00000000" w:rsidDel="00000000" w:rsidP="00000000" w:rsidRDefault="00000000" w:rsidRPr="00000000" w14:paraId="00000004">
      <w:pPr>
        <w:spacing w:after="240" w:before="240"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w:t>
      </w:r>
    </w:p>
    <w:p w:rsidR="00000000" w:rsidDel="00000000" w:rsidP="00000000" w:rsidRDefault="00000000" w:rsidRPr="00000000" w14:paraId="0000000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 Tuberculosis (TB) is a chronic inflammatory disease with highly diverse clinical presentations. While it causes tremendous morbidity worldwide, the determinants of disease heterogeneity and mortality—which is higher in India than in China—remain largely unknown. This study aimed to compare the systemic inflammatory perturbation at a molecular level between TB patients in these two high-burden countries.</w:t>
      </w:r>
    </w:p>
    <w:p w:rsidR="00000000" w:rsidDel="00000000" w:rsidP="00000000" w:rsidRDefault="00000000" w:rsidRPr="00000000" w14:paraId="00000007">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08">
      <w:pPr>
        <w:numPr>
          <w:ilvl w:val="0"/>
          <w:numId w:val="2"/>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Methods: We performed a cross-sectional study analyzing treatment-naïve pulmonary TB patients and healthy controls from India ($n=97$ TB; $n=20$ healthy) and China ($n=100$ TB; $n=11$ healthy). We employed the Molecular Degree of Perturbation (MDP) method to examine overall changes in 15 plasma protein and lipid biomarkers.</w:t>
      </w:r>
    </w:p>
    <w:p w:rsidR="00000000" w:rsidDel="00000000" w:rsidP="00000000" w:rsidRDefault="00000000" w:rsidRPr="00000000" w14:paraId="00000009">
      <w:pPr>
        <w:numPr>
          <w:ilvl w:val="0"/>
          <w:numId w:val="2"/>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Results: </w:t>
      </w:r>
      <w:r w:rsidDel="00000000" w:rsidR="00000000" w:rsidRPr="00000000">
        <w:rPr>
          <w:rFonts w:ascii="Arial" w:cs="Arial" w:eastAsia="Arial" w:hAnsi="Arial"/>
          <w:b w:val="1"/>
          <w:bCs w:val="1"/>
          <w:i w:val="1"/>
          <w:iCs w:val="1"/>
          <w:rtl w:val="0"/>
        </w:rPr>
        <w:t xml:space="preserve">M. tuberculosis</w:t>
      </w:r>
      <w:r w:rsidDel="00000000" w:rsidR="00000000" w:rsidRPr="00000000">
        <w:rPr>
          <w:rFonts w:ascii="Arial" w:cs="Arial" w:eastAsia="Arial" w:hAnsi="Arial"/>
          <w:b w:val="1"/>
          <w:bCs w:val="1"/>
          <w:rtl w:val="0"/>
        </w:rPr>
        <w:t xml:space="preserve"> infection caused significant molecular perturbation in both countries, but the overall degree was 3.7 times higher in Indian patients compared to Chinese patients ($p &lt; 0.0001$). This higher perturbation in India was independent of clinical factors like age, sex, or disease severity. Network analyses identified IFN-$\alpha$, IFN-$\beta$, sIL-1RI, and TNF-$\alpha$ as key combined biomarkers driving the molecular perturbation across the entire study population.</w:t>
      </w:r>
    </w:p>
    <w:p w:rsidR="00000000" w:rsidDel="00000000" w:rsidP="00000000" w:rsidRDefault="00000000" w:rsidRPr="00000000" w14:paraId="0000000A">
      <w:pPr>
        <w:numPr>
          <w:ilvl w:val="0"/>
          <w:numId w:val="2"/>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Conclusions: Systemic inflammatory profiles in TB are significantly influenced by geographic region. These qualitative differences in inflammatory "stress" may reflect distinct host-pathogen interactions and could impact diagnosis and treatment strategies.</w:t>
      </w:r>
    </w:p>
    <w:p w:rsidR="00000000" w:rsidDel="00000000" w:rsidP="00000000" w:rsidRDefault="00000000" w:rsidRPr="00000000" w14:paraId="0000000B">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Keywords: tuberculosis; molecular degree of perturbation; biomarkers; systemic inflammation; epidemiology</w:t>
      </w:r>
    </w:p>
    <w:p w:rsidR="00000000" w:rsidDel="00000000" w:rsidP="00000000" w:rsidRDefault="00000000" w:rsidRPr="00000000" w14:paraId="0000000C">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F">
      <w:pPr>
        <w:spacing w:after="240" w:line="276" w:lineRule="auto"/>
        <w:rPr>
          <w:rFonts w:ascii="Arial" w:cs="Arial" w:eastAsia="Arial" w:hAnsi="Arial"/>
          <w:color w:val="0b5394"/>
          <w:sz w:val="28"/>
          <w:szCs w:val="28"/>
        </w:rPr>
      </w:pPr>
      <w:r w:rsidDel="00000000" w:rsidR="00000000" w:rsidRPr="00000000">
        <w:rPr>
          <w:rFonts w:ascii="Arial" w:cs="Arial" w:eastAsia="Arial" w:hAnsi="Arial"/>
          <w:b w:val="1"/>
          <w:bCs w:val="1"/>
          <w:color w:val="0b5394"/>
          <w:sz w:val="30"/>
          <w:szCs w:val="30"/>
          <w:rtl w:val="0"/>
        </w:rPr>
        <w:t xml:space="preserve">O grau de perturbação molecular de marcadores inflamatórios plasmáticos associados à tuberculose revela perfis de doença distintos entre as populações indiana e chinesa</w:t>
      </w:r>
      <w:r w:rsidDel="00000000" w:rsidR="00000000" w:rsidRPr="00000000">
        <w:rPr>
          <w:rtl w:val="0"/>
        </w:rPr>
      </w:r>
    </w:p>
    <w:p w:rsidR="00000000" w:rsidDel="00000000" w:rsidP="00000000" w:rsidRDefault="00000000" w:rsidRPr="00000000" w14:paraId="00000010">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Contexto:</w:t>
      </w:r>
    </w:p>
    <w:p w:rsidR="00000000" w:rsidDel="00000000" w:rsidP="00000000" w:rsidRDefault="00000000" w:rsidRPr="00000000" w14:paraId="00000011">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A tuberculose (TB) é uma doença inflamatória crônica com apresentações clínicas muito diversas. Embora cause enorme morbidade mundial, os determinantes da heterogeneidade da doença e da mortalidade — que é maior na Índia do que na China — permanecem amplamente desconhecidos. Este estudo teve como objetivo comparar a perturbação inflamatória sistêmica em nível molecular entre pacientes com TB nesses dois países de alta carga.</w:t>
      </w:r>
    </w:p>
    <w:p w:rsidR="00000000" w:rsidDel="00000000" w:rsidP="00000000" w:rsidRDefault="00000000" w:rsidRPr="00000000" w14:paraId="00000012">
      <w:pPr>
        <w:spacing w:after="240" w:line="276" w:lineRule="auto"/>
        <w:rPr>
          <w:rFonts w:ascii="Arial" w:cs="Arial" w:eastAsia="Arial" w:hAnsi="Arial"/>
          <w:b w:val="1"/>
          <w:bCs w:val="1"/>
          <w:color w:val="0b5394"/>
          <w:sz w:val="24"/>
          <w:szCs w:val="24"/>
        </w:rPr>
      </w:pPr>
      <w:r w:rsidDel="00000000" w:rsidR="00000000" w:rsidRPr="00000000">
        <w:rPr>
          <w:rtl w:val="0"/>
        </w:rPr>
      </w:r>
    </w:p>
    <w:p w:rsidR="00000000" w:rsidDel="00000000" w:rsidP="00000000" w:rsidRDefault="00000000" w:rsidRPr="00000000" w14:paraId="00000013">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Resumo:</w:t>
      </w:r>
    </w:p>
    <w:p w:rsidR="00000000" w:rsidDel="00000000" w:rsidP="00000000" w:rsidRDefault="00000000" w:rsidRPr="00000000" w14:paraId="00000014">
      <w:pPr>
        <w:numPr>
          <w:ilvl w:val="0"/>
          <w:numId w:val="1"/>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Métodos: Foi realizado um estudo transversal analisando pacientes com TB pulmonar virgens de tratamento e controles saudáveis da Índia ($n=97$ TB; $n=20$ saudáveis) e da China ($n=100$ TB; $n=11$ saudáveis). Utilizamos o método de Grau de Perturbação Molecular (MDP) para examinar as alterações globais em 15 biomarcadores plasmáticos (proteínas e mediadores lipídicos).</w:t>
      </w:r>
    </w:p>
    <w:p w:rsidR="00000000" w:rsidDel="00000000" w:rsidP="00000000" w:rsidRDefault="00000000" w:rsidRPr="00000000" w14:paraId="00000015">
      <w:pPr>
        <w:numPr>
          <w:ilvl w:val="0"/>
          <w:numId w:val="1"/>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Resultados: A infecção por </w:t>
      </w:r>
      <w:r w:rsidDel="00000000" w:rsidR="00000000" w:rsidRPr="00000000">
        <w:rPr>
          <w:rFonts w:ascii="Arial" w:cs="Arial" w:eastAsia="Arial" w:hAnsi="Arial"/>
          <w:b w:val="1"/>
          <w:bCs w:val="1"/>
          <w:i w:val="1"/>
          <w:iCs w:val="1"/>
          <w:color w:val="0b5394"/>
          <w:sz w:val="24"/>
          <w:szCs w:val="24"/>
          <w:rtl w:val="0"/>
        </w:rPr>
        <w:t xml:space="preserve">M. tuberculosis</w:t>
      </w:r>
      <w:r w:rsidDel="00000000" w:rsidR="00000000" w:rsidRPr="00000000">
        <w:rPr>
          <w:rFonts w:ascii="Arial" w:cs="Arial" w:eastAsia="Arial" w:hAnsi="Arial"/>
          <w:b w:val="1"/>
          <w:bCs w:val="1"/>
          <w:color w:val="0b5394"/>
          <w:sz w:val="24"/>
          <w:szCs w:val="24"/>
          <w:rtl w:val="0"/>
        </w:rPr>
        <w:t xml:space="preserve"> causou uma perturbação molecular significativa em ambos os países, mas o grau geral foi 3,7 vezes maior nos pacientes indianos em comparação aos chineses ($p &lt; 0,0001$). Essa maior perturbação na Índia foi independente de fatores clínicos como idade, sexo ou gravidade da doença. Análises de rede identificaram IFN-$\alpha$, IFN-$\beta$, sIL-1RI e TNF-$\alpha$ como os principais biomarcadores combinados responsáveis pela perturbação molecular na população do estudo.</w:t>
      </w:r>
    </w:p>
    <w:p w:rsidR="00000000" w:rsidDel="00000000" w:rsidP="00000000" w:rsidRDefault="00000000" w:rsidRPr="00000000" w14:paraId="00000016">
      <w:pPr>
        <w:numPr>
          <w:ilvl w:val="0"/>
          <w:numId w:val="1"/>
        </w:numPr>
        <w:spacing w:after="24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Conclusão: Os perfis inflamatórios sistêmicos na TB são significativamente influenciados pela região geográfica. Essas diferenças qualitativas no "estresse" inflamatório podem refletir interações hospedeiro-patógeno distintas e podem impactar as estratégias de diagnóstico e tratamento.</w:t>
      </w:r>
    </w:p>
    <w:p w:rsidR="00000000" w:rsidDel="00000000" w:rsidP="00000000" w:rsidRDefault="00000000" w:rsidRPr="00000000" w14:paraId="00000017">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Palavras-chave: </w:t>
      </w:r>
      <w:r w:rsidDel="00000000" w:rsidR="00000000" w:rsidRPr="00000000">
        <w:rPr>
          <w:rFonts w:ascii="Arial" w:cs="Arial" w:eastAsia="Arial" w:hAnsi="Arial"/>
          <w:color w:val="0b5394"/>
          <w:sz w:val="24"/>
          <w:szCs w:val="24"/>
          <w:rtl w:val="0"/>
        </w:rPr>
        <w:t xml:space="preserve">tuberculose; grau de perturbação molecular; biomarcadores; inflamação sistêmica; epidemiologa.</w:t>
      </w: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74chd/Chfnh+MxkBCHk797UqA==">CgMxLjAyDmguMWw1czQ5aHFjNWNqOAByITFnbzF5Z0huMnV0bHktVjI0WjZvNjVTQm9hZEFhQ2FEdg==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