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Pre-Treatment Neutrophil Count as a Predictor of Antituberculosis Therapy Outcomes: A Multicenter Prospective Cohort Study</w:t>
      </w:r>
    </w:p>
    <w:p w:rsidR="00000000" w:rsidDel="00000000" w:rsidP="00000000" w:rsidRDefault="00000000" w:rsidRPr="00000000" w14:paraId="00000002">
      <w:pPr>
        <w:spacing w:after="240" w:before="240"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3">
      <w:pPr>
        <w:spacing w:after="240" w:line="276"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Abstract </w:t>
      </w:r>
    </w:p>
    <w:p w:rsidR="00000000" w:rsidDel="00000000" w:rsidP="00000000" w:rsidRDefault="00000000" w:rsidRPr="00000000" w14:paraId="00000004">
      <w:pPr>
        <w:spacing w:after="240" w:line="276"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Methods: We prospectively assessed 936 patients (172 HIV-seropositive) with culture-confirmed pulmonary TB from different regions in Brazil between 2015 and 2019. Complete blood counts were measured at baseline. Treatment outcome was defined as either unfavorable (death, treatment failure, or TB recurrence) or favorable (cure or treatment completion). We performed multivariable logistic regression with propensity score adjustment to estimate the association between neutrophil count and treatment outcomes. </w:t>
      </w:r>
    </w:p>
    <w:p w:rsidR="00000000" w:rsidDel="00000000" w:rsidP="00000000" w:rsidRDefault="00000000" w:rsidRPr="00000000" w14:paraId="00000005">
      <w:pPr>
        <w:spacing w:after="240" w:line="276"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]Results: Of 691 TB patients followed for up to 24 months, 56 (8.1%) had an unfavorable treatment outcome. Multivariable regression found an association between higher neutrophil count ($10^3/mm^3$) at baseline and unfavorable outcome among HIV-seronegative patients (OR = 1.17; 95% CI = 1.06–1.30). Adjusted Cox regression also found that higher baseline neutrophil count was associated with unfavorable treatment outcomes overall and specifically among HIV-seronegative patients (HR = 1.16; 95% CI = 1.05–1.27).</w:t>
      </w:r>
    </w:p>
    <w:p w:rsidR="00000000" w:rsidDel="00000000" w:rsidP="00000000" w:rsidRDefault="00000000" w:rsidRPr="00000000" w14:paraId="00000006">
      <w:pPr>
        <w:spacing w:after="240" w:line="276"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Conclusion: Increased neutrophil count prior to anti-TB treatment initiation was associated with unfavorable treatment outcomes, particularly among HIV-seronegative patients.</w:t>
      </w:r>
    </w:p>
    <w:p w:rsidR="00000000" w:rsidDel="00000000" w:rsidP="00000000" w:rsidRDefault="00000000" w:rsidRPr="00000000" w14:paraId="00000007">
      <w:pPr>
        <w:spacing w:after="240" w:line="276"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Keywords: tuberculosis; neutrophils; treatment outcome; biomarker; neutrophil count.</w:t>
      </w:r>
    </w:p>
    <w:p w:rsidR="00000000" w:rsidDel="00000000" w:rsidP="00000000" w:rsidRDefault="00000000" w:rsidRPr="00000000" w14:paraId="00000008">
      <w:pPr>
        <w:spacing w:after="240" w:before="240"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9">
      <w:pPr>
        <w:spacing w:after="240" w:before="240"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A">
      <w:pPr>
        <w:spacing w:after="240" w:before="240"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B">
      <w:pPr>
        <w:spacing w:after="240" w:line="276" w:lineRule="auto"/>
        <w:rPr>
          <w:rFonts w:ascii="Arial" w:cs="Arial" w:eastAsia="Arial" w:hAnsi="Arial"/>
          <w:b w:val="1"/>
          <w:bCs w:val="1"/>
          <w:color w:val="0b5394"/>
          <w:sz w:val="30"/>
          <w:szCs w:val="30"/>
        </w:rPr>
      </w:pPr>
      <w:r w:rsidDel="00000000" w:rsidR="00000000" w:rsidRPr="00000000">
        <w:rPr>
          <w:rFonts w:ascii="Arial" w:cs="Arial" w:eastAsia="Arial" w:hAnsi="Arial"/>
          <w:b w:val="1"/>
          <w:bCs w:val="1"/>
          <w:color w:val="0b5394"/>
          <w:sz w:val="30"/>
          <w:szCs w:val="30"/>
          <w:rtl w:val="0"/>
        </w:rPr>
        <w:t xml:space="preserve">Contagem de Neutrófilos Pré-Tratamento como um Preditor dos Desfechos da Terapia Antituberculose: Um Estudo de Coorte Prospectivo Multicêntrico</w:t>
      </w:r>
    </w:p>
    <w:p w:rsidR="00000000" w:rsidDel="00000000" w:rsidP="00000000" w:rsidRDefault="00000000" w:rsidRPr="00000000" w14:paraId="0000000C">
      <w:pPr>
        <w:spacing w:after="240" w:before="240" w:lineRule="auto"/>
        <w:rPr>
          <w:rFonts w:ascii="Arial" w:cs="Arial" w:eastAsia="Arial" w:hAnsi="Arial"/>
          <w:b w:val="1"/>
          <w:bCs w:val="1"/>
          <w:color w:val="0b5394"/>
        </w:rPr>
      </w:pPr>
      <w:r w:rsidDel="00000000" w:rsidR="00000000" w:rsidRPr="00000000">
        <w:rPr>
          <w:rtl w:val="0"/>
        </w:rPr>
      </w:r>
    </w:p>
    <w:p w:rsidR="00000000" w:rsidDel="00000000" w:rsidP="00000000" w:rsidRDefault="00000000" w:rsidRPr="00000000" w14:paraId="0000000D">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Resumo</w:t>
      </w:r>
    </w:p>
    <w:p w:rsidR="00000000" w:rsidDel="00000000" w:rsidP="00000000" w:rsidRDefault="00000000" w:rsidRPr="00000000" w14:paraId="0000000E">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Métodos: Avaliamos prospectivamente 936 pacientes (172 soropositivos para HIV) com TB pulmonar confirmada por cultura, recrutados em um estudo de coorte prospectivo multicêntrico em diferentes regiões do Brasil entre 2015 e 2019. Hemogramas completos foram medidos no início do estudo (</w:t>
      </w:r>
      <w:r w:rsidDel="00000000" w:rsidR="00000000" w:rsidRPr="00000000">
        <w:rPr>
          <w:rFonts w:ascii="Arial" w:cs="Arial" w:eastAsia="Arial" w:hAnsi="Arial"/>
          <w:b w:val="1"/>
          <w:bCs w:val="1"/>
          <w:i w:val="1"/>
          <w:iCs w:val="1"/>
          <w:color w:val="0b5394"/>
          <w:rtl w:val="0"/>
        </w:rPr>
        <w:t xml:space="preserve">baseline</w:t>
      </w:r>
      <w:r w:rsidDel="00000000" w:rsidR="00000000" w:rsidRPr="00000000">
        <w:rPr>
          <w:rFonts w:ascii="Arial" w:cs="Arial" w:eastAsia="Arial" w:hAnsi="Arial"/>
          <w:b w:val="1"/>
          <w:bCs w:val="1"/>
          <w:color w:val="0b5394"/>
          <w:rtl w:val="0"/>
        </w:rPr>
        <w:t xml:space="preserve">). O desfecho do tratamento foi definido como desfavorável (óbito, falha do tratamento ou recorrência da TB) ou favorável (cura ou conclusão do tratamento). Realizamos regressão logística multivariada com ajuste por escore de propensão para estimar a associação entre a contagem de neutrófilos e os desfechos do tratamento.</w:t>
      </w:r>
    </w:p>
    <w:p w:rsidR="00000000" w:rsidDel="00000000" w:rsidP="00000000" w:rsidRDefault="00000000" w:rsidRPr="00000000" w14:paraId="0000000F">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Resultados: Dos 691 pacientes com TB acompanhados por até 24 meses, 56 (8,1%) tiveram um desfecho de tratamento desfavorável. A regressão multivariada encontrou uma associação entre a contagem elevada de neutrófilos ($10^3/mm^3$) no início do estudo e o desfecho desfavorável entre pacientes soronegativos para HIV (OR = 1,17; IC 95% = 1,06–1,30). A regressão de Cox ajustada também mostrou que a contagem elevada de neutrófilos no </w:t>
      </w:r>
      <w:r w:rsidDel="00000000" w:rsidR="00000000" w:rsidRPr="00000000">
        <w:rPr>
          <w:rFonts w:ascii="Arial" w:cs="Arial" w:eastAsia="Arial" w:hAnsi="Arial"/>
          <w:b w:val="1"/>
          <w:bCs w:val="1"/>
          <w:i w:val="1"/>
          <w:iCs w:val="1"/>
          <w:color w:val="0b5394"/>
          <w:rtl w:val="0"/>
        </w:rPr>
        <w:t xml:space="preserve">baseline</w:t>
      </w:r>
      <w:r w:rsidDel="00000000" w:rsidR="00000000" w:rsidRPr="00000000">
        <w:rPr>
          <w:rFonts w:ascii="Arial" w:cs="Arial" w:eastAsia="Arial" w:hAnsi="Arial"/>
          <w:b w:val="1"/>
          <w:bCs w:val="1"/>
          <w:color w:val="0b5394"/>
          <w:rtl w:val="0"/>
        </w:rPr>
        <w:t xml:space="preserve"> foi associada a desfechos desfavoráveis no geral e especificamente entre pacientes soronegativos para HIV (HR = 1,16; IC 95% = 1,05–1,27).</w:t>
      </w:r>
    </w:p>
    <w:p w:rsidR="00000000" w:rsidDel="00000000" w:rsidP="00000000" w:rsidRDefault="00000000" w:rsidRPr="00000000" w14:paraId="00000010">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Conclusão: O aumento na contagem de neutrófilos antes do início do tratamento anti-TB foi associado a desfechos desfavoráveis, particularmente entre pacientes soronegativos para HIV.</w:t>
      </w:r>
    </w:p>
    <w:p w:rsidR="00000000" w:rsidDel="00000000" w:rsidP="00000000" w:rsidRDefault="00000000" w:rsidRPr="00000000" w14:paraId="00000011">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Palavras-chave: tuberculose; neutrófilos; desfecho do tratamento; biomarcador; contagem de neutrófilos.</w:t>
      </w:r>
    </w:p>
    <w:p w:rsidR="00000000" w:rsidDel="00000000" w:rsidP="00000000" w:rsidRDefault="00000000" w:rsidRPr="00000000" w14:paraId="00000012">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3">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4">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5">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6">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7">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9">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B">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C">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D">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E">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F">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0">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spacing w:after="240" w:before="240" w:line="276"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2">
      <w:pPr>
        <w:spacing w:after="240" w:line="276" w:lineRule="auto"/>
        <w:rPr>
          <w:rFonts w:ascii="Arial" w:cs="Arial" w:eastAsia="Arial" w:hAnsi="Arial"/>
          <w:b w:val="1"/>
          <w:bCs w:val="1"/>
          <w:color w:val="0b5394"/>
        </w:rPr>
      </w:pPr>
      <w:r w:rsidDel="00000000" w:rsidR="00000000" w:rsidRPr="00000000">
        <w:rPr>
          <w:rtl w:val="0"/>
        </w:rPr>
      </w:r>
    </w:p>
    <w:p w:rsidR="00000000" w:rsidDel="00000000" w:rsidP="00000000" w:rsidRDefault="00000000" w:rsidRPr="00000000" w14:paraId="00000023">
      <w:pPr>
        <w:spacing w:after="240" w:line="276" w:lineRule="auto"/>
        <w:rPr>
          <w:rFonts w:ascii="Arial" w:cs="Arial" w:eastAsia="Arial" w:hAnsi="Arial"/>
          <w:b w:val="1"/>
          <w:bCs w:val="1"/>
          <w:color w:val="0b5394"/>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QI9bt00Zr5di1y/1tR/0yZHUZw==">CgMxLjA4AHIhMVdDTWxTbjRUckVnMGFIS3lsZHA1NTMyTTR1NG1IaWZH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