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Arial" w:cs="Arial" w:eastAsia="Arial" w:hAnsi="Arial"/>
          <w:b w:val="1"/>
          <w:bCs w:val="1"/>
          <w:sz w:val="32"/>
          <w:szCs w:val="32"/>
        </w:rPr>
      </w:pPr>
      <w:r w:rsidDel="00000000" w:rsidR="00000000" w:rsidRPr="00000000">
        <w:rPr>
          <w:rFonts w:ascii="Arial" w:cs="Arial" w:eastAsia="Arial" w:hAnsi="Arial"/>
          <w:b w:val="1"/>
          <w:bCs w:val="1"/>
          <w:sz w:val="30"/>
          <w:szCs w:val="30"/>
          <w:rtl w:val="0"/>
        </w:rPr>
        <w:t xml:space="preserve">Possible sex difference in latent tuberculosis infection risk among close tuberculosis contacts.</w:t>
      </w:r>
      <w:r w:rsidDel="00000000" w:rsidR="00000000" w:rsidRPr="00000000">
        <w:rPr>
          <w:rtl w:val="0"/>
        </w:rPr>
      </w:r>
    </w:p>
    <w:p w:rsidR="00000000" w:rsidDel="00000000" w:rsidP="00000000" w:rsidRDefault="00000000" w:rsidRPr="00000000" w14:paraId="00000002">
      <w:pPr>
        <w:spacing w:after="240" w:line="276"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 </w:t>
      </w:r>
    </w:p>
    <w:p w:rsidR="00000000" w:rsidDel="00000000" w:rsidP="00000000" w:rsidRDefault="00000000" w:rsidRPr="00000000" w14:paraId="00000003">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Abstract: * Methods: This observational multi-center cohort followed close contacts of culture-confirmed pulmonary TB patients for 24 months across five sites in Brazil. LTBI was defined as a positive interferon-gamma release assay (IGRA) at baseline or 6 months. Multivariable logistic regression and propensity-score weighted models were used to assess odds ratios (OR) for LTBI acquisition by birth sex.Results: Of 1,838 close contacts, 504 of 1,093 (46%) female contacts were IGRA positive compared to 295 of 745 (40%) men. The unadjusted OR for IGRA positivity among women vs. men was 1.31. However, multivariable regression and weighted models yielded more attenuated ORs of 1.14 and 1.15, respectively, with confidence intervals including the null.Conclusion: The point estimate for LTBI among close TB contacts in Brazil was higher in women, though this difference was less pronounced in multivariable models. If confirmed in other settings, these findings warrant further study of underlying socio-behavioral or biological mechanisms.</w:t>
      </w:r>
    </w:p>
    <w:p w:rsidR="00000000" w:rsidDel="00000000" w:rsidP="00000000" w:rsidRDefault="00000000" w:rsidRPr="00000000" w14:paraId="00000004">
      <w:pPr>
        <w:spacing w:after="240" w:line="276" w:lineRule="auto"/>
        <w:rPr>
          <w:rFonts w:ascii="Arial" w:cs="Arial" w:eastAsia="Arial" w:hAnsi="Arial"/>
        </w:rPr>
      </w:pPr>
      <w:r w:rsidDel="00000000" w:rsidR="00000000" w:rsidRPr="00000000">
        <w:rPr>
          <w:rFonts w:ascii="Arial" w:cs="Arial" w:eastAsia="Arial" w:hAnsi="Arial"/>
          <w:b w:val="1"/>
          <w:bCs w:val="1"/>
          <w:rtl w:val="0"/>
        </w:rPr>
        <w:t xml:space="preserve">Keywords:</w:t>
      </w:r>
      <w:r w:rsidDel="00000000" w:rsidR="00000000" w:rsidRPr="00000000">
        <w:rPr>
          <w:rFonts w:ascii="Arial" w:cs="Arial" w:eastAsia="Arial" w:hAnsi="Arial"/>
          <w:rtl w:val="0"/>
        </w:rPr>
        <w:t xml:space="preserve"> Latent tuberculosis; Sex difference; Interferon-Gamma release assay; Health status disparities</w:t>
      </w:r>
    </w:p>
    <w:p w:rsidR="00000000" w:rsidDel="00000000" w:rsidP="00000000" w:rsidRDefault="00000000" w:rsidRPr="00000000" w14:paraId="00000005">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spacing w:after="240" w:line="276" w:lineRule="auto"/>
        <w:rPr>
          <w:rFonts w:ascii="Arial" w:cs="Arial" w:eastAsia="Arial" w:hAnsi="Arial"/>
          <w:b w:val="1"/>
          <w:bCs w:val="1"/>
          <w:color w:val="0b5394"/>
          <w:sz w:val="32"/>
          <w:szCs w:val="32"/>
        </w:rPr>
      </w:pPr>
      <w:r w:rsidDel="00000000" w:rsidR="00000000" w:rsidRPr="00000000">
        <w:rPr>
          <w:rFonts w:ascii="Arial" w:cs="Arial" w:eastAsia="Arial" w:hAnsi="Arial"/>
          <w:b w:val="1"/>
          <w:bCs w:val="1"/>
          <w:color w:val="0b5394"/>
          <w:sz w:val="32"/>
          <w:szCs w:val="32"/>
          <w:rtl w:val="0"/>
        </w:rPr>
        <w:t xml:space="preserve">Possível diferença sexual no risco de infecção latente por tuberculose entre contatos próximos de tuberculose.</w:t>
      </w:r>
    </w:p>
    <w:p w:rsidR="00000000" w:rsidDel="00000000" w:rsidP="00000000" w:rsidRDefault="00000000" w:rsidRPr="00000000" w14:paraId="00000007">
      <w:pPr>
        <w:spacing w:after="240" w:line="276" w:lineRule="auto"/>
        <w:rPr>
          <w:rFonts w:ascii="Arial" w:cs="Arial" w:eastAsia="Arial" w:hAnsi="Arial"/>
          <w:b w:val="1"/>
          <w:bCs w:val="1"/>
          <w:color w:val="0b5394"/>
          <w:sz w:val="32"/>
          <w:szCs w:val="32"/>
        </w:rPr>
      </w:pPr>
      <w:r w:rsidDel="00000000" w:rsidR="00000000" w:rsidRPr="00000000">
        <w:rPr>
          <w:rtl w:val="0"/>
        </w:rPr>
      </w:r>
    </w:p>
    <w:p w:rsidR="00000000" w:rsidDel="00000000" w:rsidP="00000000" w:rsidRDefault="00000000" w:rsidRPr="00000000" w14:paraId="00000008">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Resumo (Abstract): Esta coorte observacional multicêntrica acompanhou contatos próximos de pacientes com TB pulmonar confirmada por cultura durante 24 meses em cinco locais no Brasil. A ILTB foi definida como um teste de liberação de interferon-gama (IGRA) positivo no início do estudo ou aos 6 meses. Regressão logística multivariável e modelos ponderados por escore de propensão foram utilizados para avaliar as razões de chances (OR) para a aquisição de ILTB por sexo de nascimento. Resultados: De 1.838 contatos próximos, 504 de 1.093 (46%) contatos femininos foram IGRA positivos, em comparação com 295 de 745 (40%) homens. A OR não ajustada para positividade no IGRA entre mulheres vs. homens foi de 1,31. No entanto, a regressão multivariável e os modelos ponderados resultaram em ORs mais atenuadas de 1,14 e 1,15, respectivamente, com intervalos de confiança que incluíram a nulidade.</w:t>
      </w:r>
    </w:p>
    <w:p w:rsidR="00000000" w:rsidDel="00000000" w:rsidP="00000000" w:rsidRDefault="00000000" w:rsidRPr="00000000" w14:paraId="00000009">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Conclusão: A estimativa pontual para ILTB entre contatos próximos de TB no Brasil foi maior em mulheres, embora essa diferença tenha sido menos pronunciada nos modelos multivariáveis. Se confirmados em outros contextos, esses achados justificam estudos adicionais sobre mecanismos socio-comportamentais ou biológicos subjacentes.</w:t>
      </w:r>
    </w:p>
    <w:p w:rsidR="00000000" w:rsidDel="00000000" w:rsidP="00000000" w:rsidRDefault="00000000" w:rsidRPr="00000000" w14:paraId="0000000A">
      <w:pPr>
        <w:spacing w:after="240" w:line="276" w:lineRule="auto"/>
        <w:rPr>
          <w:rFonts w:ascii="Arial" w:cs="Arial" w:eastAsia="Arial" w:hAnsi="Arial"/>
          <w:color w:val="0b5394"/>
        </w:rPr>
      </w:pPr>
      <w:r w:rsidDel="00000000" w:rsidR="00000000" w:rsidRPr="00000000">
        <w:rPr>
          <w:rFonts w:ascii="Arial" w:cs="Arial" w:eastAsia="Arial" w:hAnsi="Arial"/>
          <w:b w:val="1"/>
          <w:bCs w:val="1"/>
          <w:color w:val="0b5394"/>
          <w:rtl w:val="0"/>
        </w:rPr>
        <w:t xml:space="preserve">Palavras-chave:</w:t>
      </w:r>
      <w:r w:rsidDel="00000000" w:rsidR="00000000" w:rsidRPr="00000000">
        <w:rPr>
          <w:rFonts w:ascii="Arial" w:cs="Arial" w:eastAsia="Arial" w:hAnsi="Arial"/>
          <w:color w:val="0b5394"/>
          <w:rtl w:val="0"/>
        </w:rPr>
        <w:t xml:space="preserve"> Tuberculose latente; Diferença sexual; Teste de liberação de Interferon-Gama; Disparidades no estado de saúde.</w:t>
      </w:r>
    </w:p>
    <w:p w:rsidR="00000000" w:rsidDel="00000000" w:rsidP="00000000" w:rsidRDefault="00000000" w:rsidRPr="00000000" w14:paraId="0000000B">
      <w:pPr>
        <w:spacing w:after="240" w:line="276" w:lineRule="auto"/>
        <w:rPr>
          <w:rFonts w:ascii="Arial" w:cs="Arial" w:eastAsia="Arial" w:hAnsi="Arial"/>
          <w:b w:val="1"/>
          <w:bCs w:val="1"/>
          <w:color w:val="0b5394"/>
          <w:sz w:val="30"/>
          <w:szCs w:val="30"/>
        </w:rPr>
      </w:pPr>
      <w:r w:rsidDel="00000000" w:rsidR="00000000" w:rsidRPr="00000000">
        <w:rPr>
          <w:rtl w:val="0"/>
        </w:rPr>
      </w:r>
    </w:p>
    <w:p w:rsidR="00000000" w:rsidDel="00000000" w:rsidP="00000000" w:rsidRDefault="00000000" w:rsidRPr="00000000" w14:paraId="0000000C">
      <w:pPr>
        <w:spacing w:after="240" w:line="276" w:lineRule="auto"/>
        <w:rPr>
          <w:rFonts w:ascii="Arial" w:cs="Arial" w:eastAsia="Arial" w:hAnsi="Arial"/>
          <w:color w:val="0b5394"/>
          <w:sz w:val="24"/>
          <w:szCs w:val="24"/>
        </w:rPr>
      </w:pPr>
      <w:r w:rsidDel="00000000" w:rsidR="00000000" w:rsidRPr="00000000">
        <w:rPr>
          <w:rFonts w:ascii="Arial" w:cs="Arial" w:eastAsia="Arial" w:hAnsi="Arial"/>
          <w:color w:val="0b5394"/>
          <w:sz w:val="24"/>
          <w:szCs w:val="24"/>
          <w:rtl w:val="0"/>
        </w:rPr>
        <w:t xml:space="preserve">.</w:t>
      </w:r>
    </w:p>
    <w:p w:rsidR="00000000" w:rsidDel="00000000" w:rsidP="00000000" w:rsidRDefault="00000000" w:rsidRPr="00000000" w14:paraId="0000000D">
      <w:pPr>
        <w:spacing w:after="240" w:line="276" w:lineRule="auto"/>
        <w:rPr>
          <w:rFonts w:ascii="Arial" w:cs="Arial" w:eastAsia="Arial" w:hAnsi="Arial"/>
          <w:color w:val="3c78d8"/>
          <w:sz w:val="30"/>
          <w:szCs w:val="30"/>
        </w:rPr>
      </w:pPr>
      <w:r w:rsidDel="00000000" w:rsidR="00000000" w:rsidRPr="00000000">
        <w:rPr>
          <w:rtl w:val="0"/>
        </w:rPr>
      </w:r>
    </w:p>
    <w:p w:rsidR="00000000" w:rsidDel="00000000" w:rsidP="00000000" w:rsidRDefault="00000000" w:rsidRPr="00000000" w14:paraId="0000000E">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0">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3">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4">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5">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6">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7">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9">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A">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B">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C">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D">
      <w:pPr>
        <w:spacing w:after="240" w:before="240" w:line="276"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1E">
      <w:pPr>
        <w:spacing w:after="240" w:line="276" w:lineRule="auto"/>
        <w:rPr>
          <w:rFonts w:ascii="Arial" w:cs="Arial" w:eastAsia="Arial" w:hAnsi="Arial"/>
          <w:b w:val="1"/>
          <w:bCs w:val="1"/>
          <w:color w:val="0b5394"/>
        </w:rPr>
      </w:pPr>
      <w:r w:rsidDel="00000000" w:rsidR="00000000" w:rsidRPr="00000000">
        <w:rPr>
          <w:rtl w:val="0"/>
        </w:rPr>
      </w:r>
    </w:p>
    <w:p w:rsidR="00000000" w:rsidDel="00000000" w:rsidP="00000000" w:rsidRDefault="00000000" w:rsidRPr="00000000" w14:paraId="0000001F">
      <w:pPr>
        <w:spacing w:after="240" w:line="276" w:lineRule="auto"/>
        <w:rPr>
          <w:rFonts w:ascii="Arial" w:cs="Arial" w:eastAsia="Arial" w:hAnsi="Arial"/>
          <w:b w:val="1"/>
          <w:bCs w:val="1"/>
          <w:color w:val="0b5394"/>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UwAdgOrYB6OYOaM/QQZg/EruHg==">CgMxLjA4AHIhMXNUN0ZZUnlOMnZEcHN2bnhSckpCLTZTdnBtRHJTWHE3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