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BEE88" w14:textId="77777777" w:rsidR="00A87FCA" w:rsidRPr="00CF34FC" w:rsidRDefault="00A87FCA">
      <w:pPr>
        <w:rPr>
          <w:b/>
          <w:bCs/>
          <w:lang w:val="en-US"/>
        </w:rPr>
      </w:pPr>
      <w:r w:rsidRPr="00CF34FC">
        <w:rPr>
          <w:b/>
          <w:bCs/>
          <w:lang w:val="en-US"/>
        </w:rPr>
        <w:t xml:space="preserve">Isoniazid Monoresistance and Antituberculosis Treatment Outcome in Persons </w:t>
      </w:r>
      <w:proofErr w:type="gramStart"/>
      <w:r w:rsidRPr="00CF34FC">
        <w:rPr>
          <w:b/>
          <w:bCs/>
          <w:lang w:val="en-US"/>
        </w:rPr>
        <w:t>With</w:t>
      </w:r>
      <w:proofErr w:type="gramEnd"/>
      <w:r w:rsidRPr="00CF34FC">
        <w:rPr>
          <w:b/>
          <w:bCs/>
          <w:lang w:val="en-US"/>
        </w:rPr>
        <w:t xml:space="preserve"> Pulmonary Tuberculosis in Brazil</w:t>
      </w:r>
    </w:p>
    <w:p w14:paraId="349F02DE" w14:textId="6253833C" w:rsidR="00A87FCA" w:rsidRDefault="00A87FCA">
      <w:pPr>
        <w:rPr>
          <w:lang w:val="en-US"/>
        </w:rPr>
      </w:pPr>
      <w:r w:rsidRPr="00A87FCA">
        <w:rPr>
          <w:lang w:val="en-US"/>
        </w:rPr>
        <w:t>Background. The high burden of drug-resistant tuberculosis (TB) is a problem to achieve the goals of the End TB Strategy by 2035. Whether isoniazid monoresistance (</w:t>
      </w:r>
      <w:proofErr w:type="spellStart"/>
      <w:r w:rsidRPr="00A87FCA">
        <w:rPr>
          <w:lang w:val="en-US"/>
        </w:rPr>
        <w:t>Hr</w:t>
      </w:r>
      <w:proofErr w:type="spellEnd"/>
      <w:r w:rsidRPr="00A87FCA">
        <w:rPr>
          <w:lang w:val="en-US"/>
        </w:rPr>
        <w:t>) affects anti-TB treatment (ATT</w:t>
      </w:r>
      <w:proofErr w:type="gramStart"/>
      <w:r w:rsidRPr="00A87FCA">
        <w:rPr>
          <w:lang w:val="en-US"/>
        </w:rPr>
        <w:t>) outcomes</w:t>
      </w:r>
      <w:proofErr w:type="gramEnd"/>
      <w:r w:rsidRPr="00A87FCA">
        <w:rPr>
          <w:lang w:val="en-US"/>
        </w:rPr>
        <w:t xml:space="preserve"> remains unknown in high-burden countries. </w:t>
      </w:r>
      <w:r>
        <w:rPr>
          <w:lang w:val="en-US"/>
        </w:rPr>
        <w:br/>
      </w:r>
      <w:r>
        <w:rPr>
          <w:lang w:val="en-US"/>
        </w:rPr>
        <w:br/>
      </w:r>
      <w:r w:rsidRPr="00A87FCA">
        <w:rPr>
          <w:lang w:val="en-US"/>
        </w:rPr>
        <w:t xml:space="preserve">Methods. We evaluated determinants of ATT outcome among pulmonary TB cases reported to the National Notifiable Disease Information System (SINAN) between June 2015 and June 2019, according to drug sensitivity testing (DST) results. Binomial logistic regression models were employed to evaluate whether </w:t>
      </w:r>
      <w:proofErr w:type="spellStart"/>
      <w:r w:rsidRPr="00A87FCA">
        <w:rPr>
          <w:lang w:val="en-US"/>
        </w:rPr>
        <w:t>Hr</w:t>
      </w:r>
      <w:proofErr w:type="spellEnd"/>
      <w:r w:rsidRPr="00A87FCA">
        <w:rPr>
          <w:lang w:val="en-US"/>
        </w:rPr>
        <w:t xml:space="preserve"> was associated with an unfavorable ATT </w:t>
      </w:r>
    </w:p>
    <w:p w14:paraId="35979FFC" w14:textId="7F7ACAB2" w:rsidR="00A87FCA" w:rsidRPr="00A87FCA" w:rsidRDefault="00A87FCA">
      <w:pPr>
        <w:rPr>
          <w:b/>
          <w:bCs/>
          <w:color w:val="215E99" w:themeColor="text2" w:themeTint="BF"/>
          <w:lang w:val="en-US"/>
        </w:rPr>
      </w:pPr>
      <w:r>
        <w:rPr>
          <w:lang w:val="en-US"/>
        </w:rPr>
        <w:t>O</w:t>
      </w:r>
      <w:r w:rsidRPr="00A87FCA">
        <w:rPr>
          <w:lang w:val="en-US"/>
        </w:rPr>
        <w:t xml:space="preserve">utcome: death or failure, compared to cure or treatment completion. Results. Among 60 804 TB cases reported in SINAN, 21 197 (34.9%) were included in the study. In this database, the frequency of unfavorable outcomes was significantly higher in those with </w:t>
      </w:r>
      <w:proofErr w:type="spellStart"/>
      <w:r w:rsidRPr="00A87FCA">
        <w:rPr>
          <w:lang w:val="en-US"/>
        </w:rPr>
        <w:t>Hr</w:t>
      </w:r>
      <w:proofErr w:type="spellEnd"/>
      <w:r w:rsidRPr="00A87FCA">
        <w:rPr>
          <w:lang w:val="en-US"/>
        </w:rPr>
        <w:t xml:space="preserve"> in contrast to isoniazid-sensitive persons with pulmonary TB (9.1% vs 3.05%; P &lt; .001). Using a binomial logistic regression model, </w:t>
      </w:r>
      <w:proofErr w:type="spellStart"/>
      <w:r w:rsidRPr="00A87FCA">
        <w:rPr>
          <w:lang w:val="en-US"/>
        </w:rPr>
        <w:t>Hr</w:t>
      </w:r>
      <w:proofErr w:type="spellEnd"/>
      <w:r w:rsidRPr="00A87FCA">
        <w:rPr>
          <w:lang w:val="en-US"/>
        </w:rPr>
        <w:t xml:space="preserve"> was independently associated with unfavorable outcomes (odds ratio, 3.34 [95% confidence interval, 2.06–5.40]; P &lt; .001). </w:t>
      </w:r>
      <w:r>
        <w:rPr>
          <w:lang w:val="en-US"/>
        </w:rPr>
        <w:br/>
      </w:r>
      <w:r>
        <w:rPr>
          <w:lang w:val="en-US"/>
        </w:rPr>
        <w:br/>
      </w:r>
      <w:r w:rsidRPr="00A87FCA">
        <w:rPr>
          <w:lang w:val="en-US"/>
        </w:rPr>
        <w:t xml:space="preserve">Conclusions. </w:t>
      </w:r>
      <w:proofErr w:type="spellStart"/>
      <w:r w:rsidRPr="00A87FCA">
        <w:rPr>
          <w:lang w:val="en-US"/>
        </w:rPr>
        <w:t>Hr</w:t>
      </w:r>
      <w:proofErr w:type="spellEnd"/>
      <w:r w:rsidRPr="00A87FCA">
        <w:rPr>
          <w:lang w:val="en-US"/>
        </w:rPr>
        <w:t xml:space="preserve"> detected prior to ATT was predictive of unfavorable outcomes at the national level in Brazil. Our data reinforce the need for high-TB-burden countries to prioritize DST to detect Hr. Effective treatment regimens for </w:t>
      </w:r>
      <w:proofErr w:type="spellStart"/>
      <w:r w:rsidRPr="00A87FCA">
        <w:rPr>
          <w:lang w:val="en-US"/>
        </w:rPr>
        <w:t>Hr</w:t>
      </w:r>
      <w:proofErr w:type="spellEnd"/>
      <w:r w:rsidRPr="00A87FCA">
        <w:rPr>
          <w:lang w:val="en-US"/>
        </w:rPr>
        <w:t>-TB are needed to improve outcomes</w:t>
      </w:r>
      <w:r w:rsidRPr="00A87FCA">
        <w:rPr>
          <w:lang w:val="en-US"/>
        </w:rPr>
        <w:br/>
      </w:r>
      <w:r w:rsidRPr="00A87FCA">
        <w:rPr>
          <w:lang w:val="en-US"/>
        </w:rPr>
        <w:br/>
      </w:r>
      <w:proofErr w:type="spellStart"/>
      <w:r w:rsidRPr="00A87FCA">
        <w:rPr>
          <w:b/>
          <w:bCs/>
          <w:color w:val="215E99" w:themeColor="text2" w:themeTint="BF"/>
          <w:lang w:val="en-US"/>
        </w:rPr>
        <w:t>Monorresistência</w:t>
      </w:r>
      <w:proofErr w:type="spellEnd"/>
      <w:r w:rsidRPr="00A87FCA">
        <w:rPr>
          <w:b/>
          <w:bCs/>
          <w:color w:val="215E99" w:themeColor="text2" w:themeTint="BF"/>
          <w:lang w:val="en-US"/>
        </w:rPr>
        <w:t xml:space="preserve"> à </w:t>
      </w:r>
      <w:proofErr w:type="spellStart"/>
      <w:r w:rsidRPr="00A87FCA">
        <w:rPr>
          <w:b/>
          <w:bCs/>
          <w:color w:val="215E99" w:themeColor="text2" w:themeTint="BF"/>
          <w:lang w:val="en-US"/>
        </w:rPr>
        <w:t>Isoniazida</w:t>
      </w:r>
      <w:proofErr w:type="spellEnd"/>
      <w:r w:rsidRPr="00A87FCA">
        <w:rPr>
          <w:b/>
          <w:bCs/>
          <w:color w:val="215E99" w:themeColor="text2" w:themeTint="BF"/>
          <w:lang w:val="en-US"/>
        </w:rPr>
        <w:t xml:space="preserve"> e o </w:t>
      </w:r>
      <w:proofErr w:type="spellStart"/>
      <w:r w:rsidRPr="00A87FCA">
        <w:rPr>
          <w:b/>
          <w:bCs/>
          <w:color w:val="215E99" w:themeColor="text2" w:themeTint="BF"/>
          <w:lang w:val="en-US"/>
        </w:rPr>
        <w:t>Desfecho</w:t>
      </w:r>
      <w:proofErr w:type="spellEnd"/>
      <w:r w:rsidRPr="00A87FCA">
        <w:rPr>
          <w:b/>
          <w:bCs/>
          <w:color w:val="215E99" w:themeColor="text2" w:themeTint="BF"/>
          <w:lang w:val="en-US"/>
        </w:rPr>
        <w:t xml:space="preserve"> do </w:t>
      </w:r>
      <w:proofErr w:type="spellStart"/>
      <w:r w:rsidRPr="00A87FCA">
        <w:rPr>
          <w:b/>
          <w:bCs/>
          <w:color w:val="215E99" w:themeColor="text2" w:themeTint="BF"/>
          <w:lang w:val="en-US"/>
        </w:rPr>
        <w:t>Tratamento</w:t>
      </w:r>
      <w:proofErr w:type="spellEnd"/>
      <w:r w:rsidRPr="00A87FCA">
        <w:rPr>
          <w:b/>
          <w:bCs/>
          <w:color w:val="215E99" w:themeColor="text2" w:themeTint="BF"/>
          <w:lang w:val="en-US"/>
        </w:rPr>
        <w:t xml:space="preserve"> </w:t>
      </w:r>
      <w:proofErr w:type="spellStart"/>
      <w:r w:rsidRPr="00A87FCA">
        <w:rPr>
          <w:b/>
          <w:bCs/>
          <w:color w:val="215E99" w:themeColor="text2" w:themeTint="BF"/>
          <w:lang w:val="en-US"/>
        </w:rPr>
        <w:t>Antituberculose</w:t>
      </w:r>
      <w:proofErr w:type="spellEnd"/>
      <w:r w:rsidRPr="00A87FCA">
        <w:rPr>
          <w:b/>
          <w:bCs/>
          <w:color w:val="215E99" w:themeColor="text2" w:themeTint="BF"/>
          <w:lang w:val="en-US"/>
        </w:rPr>
        <w:t xml:space="preserve"> </w:t>
      </w:r>
      <w:proofErr w:type="spellStart"/>
      <w:r w:rsidRPr="00A87FCA">
        <w:rPr>
          <w:b/>
          <w:bCs/>
          <w:color w:val="215E99" w:themeColor="text2" w:themeTint="BF"/>
          <w:lang w:val="en-US"/>
        </w:rPr>
        <w:t>em</w:t>
      </w:r>
      <w:proofErr w:type="spellEnd"/>
      <w:r w:rsidRPr="00A87FCA">
        <w:rPr>
          <w:b/>
          <w:bCs/>
          <w:color w:val="215E99" w:themeColor="text2" w:themeTint="BF"/>
          <w:lang w:val="en-US"/>
        </w:rPr>
        <w:t xml:space="preserve"> </w:t>
      </w:r>
      <w:proofErr w:type="spellStart"/>
      <w:r w:rsidRPr="00A87FCA">
        <w:rPr>
          <w:b/>
          <w:bCs/>
          <w:color w:val="215E99" w:themeColor="text2" w:themeTint="BF"/>
          <w:lang w:val="en-US"/>
        </w:rPr>
        <w:t>Pessoas</w:t>
      </w:r>
      <w:proofErr w:type="spellEnd"/>
      <w:r w:rsidRPr="00A87FCA">
        <w:rPr>
          <w:b/>
          <w:bCs/>
          <w:color w:val="215E99" w:themeColor="text2" w:themeTint="BF"/>
          <w:lang w:val="en-US"/>
        </w:rPr>
        <w:t xml:space="preserve"> com </w:t>
      </w:r>
      <w:proofErr w:type="spellStart"/>
      <w:r w:rsidRPr="00A87FCA">
        <w:rPr>
          <w:b/>
          <w:bCs/>
          <w:color w:val="215E99" w:themeColor="text2" w:themeTint="BF"/>
          <w:lang w:val="en-US"/>
        </w:rPr>
        <w:t>Tuberculose</w:t>
      </w:r>
      <w:proofErr w:type="spellEnd"/>
      <w:r w:rsidRPr="00A87FCA">
        <w:rPr>
          <w:b/>
          <w:bCs/>
          <w:color w:val="215E99" w:themeColor="text2" w:themeTint="BF"/>
          <w:lang w:val="en-US"/>
        </w:rPr>
        <w:t xml:space="preserve"> </w:t>
      </w:r>
      <w:proofErr w:type="spellStart"/>
      <w:r w:rsidRPr="00A87FCA">
        <w:rPr>
          <w:b/>
          <w:bCs/>
          <w:color w:val="215E99" w:themeColor="text2" w:themeTint="BF"/>
          <w:lang w:val="en-US"/>
        </w:rPr>
        <w:t>Pulmonar</w:t>
      </w:r>
      <w:proofErr w:type="spellEnd"/>
      <w:r w:rsidRPr="00A87FCA">
        <w:rPr>
          <w:b/>
          <w:bCs/>
          <w:color w:val="215E99" w:themeColor="text2" w:themeTint="BF"/>
          <w:lang w:val="en-US"/>
        </w:rPr>
        <w:t xml:space="preserve"> no </w:t>
      </w:r>
      <w:proofErr w:type="spellStart"/>
      <w:r w:rsidRPr="00A87FCA">
        <w:rPr>
          <w:b/>
          <w:bCs/>
          <w:color w:val="215E99" w:themeColor="text2" w:themeTint="BF"/>
          <w:lang w:val="en-US"/>
        </w:rPr>
        <w:t>Brasil</w:t>
      </w:r>
      <w:proofErr w:type="spellEnd"/>
    </w:p>
    <w:p w14:paraId="3A573DB6" w14:textId="3C8B5C9A" w:rsidR="00A87FCA" w:rsidRPr="00A87FCA" w:rsidRDefault="00A87FCA" w:rsidP="00A87FCA">
      <w:pPr>
        <w:rPr>
          <w:color w:val="215E99" w:themeColor="text2" w:themeTint="BF"/>
        </w:rPr>
      </w:pPr>
      <w:r w:rsidRPr="00A87FCA">
        <w:rPr>
          <w:b/>
          <w:bCs/>
          <w:color w:val="215E99" w:themeColor="text2" w:themeTint="BF"/>
        </w:rPr>
        <w:t>Contexto:</w:t>
      </w:r>
      <w:r w:rsidRPr="00A87FCA">
        <w:rPr>
          <w:color w:val="215E99" w:themeColor="text2" w:themeTint="BF"/>
        </w:rPr>
        <w:br/>
        <w:t xml:space="preserve">A alta carga de tuberculose (TB) resistente a medicamentos representa um obstáculo para alcançar as metas da Estratégia </w:t>
      </w:r>
      <w:proofErr w:type="spellStart"/>
      <w:r w:rsidRPr="00A87FCA">
        <w:rPr>
          <w:color w:val="215E99" w:themeColor="text2" w:themeTint="BF"/>
        </w:rPr>
        <w:t>End</w:t>
      </w:r>
      <w:proofErr w:type="spellEnd"/>
      <w:r w:rsidRPr="00A87FCA">
        <w:rPr>
          <w:color w:val="215E99" w:themeColor="text2" w:themeTint="BF"/>
        </w:rPr>
        <w:t xml:space="preserve"> TB até 2035. Ainda não está claro se a </w:t>
      </w:r>
      <w:proofErr w:type="spellStart"/>
      <w:r w:rsidRPr="00A87FCA">
        <w:rPr>
          <w:color w:val="215E99" w:themeColor="text2" w:themeTint="BF"/>
        </w:rPr>
        <w:t>monorresistência</w:t>
      </w:r>
      <w:proofErr w:type="spellEnd"/>
      <w:r w:rsidRPr="00A87FCA">
        <w:rPr>
          <w:color w:val="215E99" w:themeColor="text2" w:themeTint="BF"/>
        </w:rPr>
        <w:t xml:space="preserve"> à isoniazida (</w:t>
      </w:r>
      <w:proofErr w:type="spellStart"/>
      <w:r w:rsidRPr="00A87FCA">
        <w:rPr>
          <w:color w:val="215E99" w:themeColor="text2" w:themeTint="BF"/>
        </w:rPr>
        <w:t>Hr</w:t>
      </w:r>
      <w:proofErr w:type="spellEnd"/>
      <w:r w:rsidRPr="00A87FCA">
        <w:rPr>
          <w:color w:val="215E99" w:themeColor="text2" w:themeTint="BF"/>
        </w:rPr>
        <w:t>) afeta os desfechos do tratamento antituberculose (TAT) em países com alta carga da doença.</w:t>
      </w:r>
    </w:p>
    <w:p w14:paraId="3FE734CD" w14:textId="665A3242" w:rsidR="00A87FCA" w:rsidRPr="00A87FCA" w:rsidRDefault="00A87FCA" w:rsidP="00A87FCA">
      <w:pPr>
        <w:rPr>
          <w:color w:val="215E99" w:themeColor="text2" w:themeTint="BF"/>
        </w:rPr>
      </w:pPr>
      <w:r w:rsidRPr="00A87FCA">
        <w:rPr>
          <w:b/>
          <w:bCs/>
          <w:color w:val="215E99" w:themeColor="text2" w:themeTint="BF"/>
        </w:rPr>
        <w:t>Métodos:</w:t>
      </w:r>
      <w:r w:rsidRPr="00A87FCA">
        <w:rPr>
          <w:color w:val="215E99" w:themeColor="text2" w:themeTint="BF"/>
        </w:rPr>
        <w:br/>
        <w:t xml:space="preserve">Avaliamos os determinantes do desfecho do TAT em casos de TB pulmonar registrados no Sistema de Informação de Agravos de Notificação (SINAN) entre junho de 2015 e junho de 2019, de acordo com os resultados dos testes de sensibilidade a drogas (TSD). Modelos de regressão logística binomial foram utilizados para avaliar se a </w:t>
      </w:r>
      <w:proofErr w:type="spellStart"/>
      <w:r w:rsidRPr="00A87FCA">
        <w:rPr>
          <w:color w:val="215E99" w:themeColor="text2" w:themeTint="BF"/>
        </w:rPr>
        <w:t>Hr</w:t>
      </w:r>
      <w:proofErr w:type="spellEnd"/>
      <w:r w:rsidRPr="00A87FCA">
        <w:rPr>
          <w:color w:val="215E99" w:themeColor="text2" w:themeTint="BF"/>
        </w:rPr>
        <w:t xml:space="preserve"> estava associada a desfechos desfavoráveis do TAT (morte ou falha) em comparação com cura ou conclusão do tratamento.</w:t>
      </w:r>
    </w:p>
    <w:p w14:paraId="23E17377" w14:textId="77777777" w:rsidR="00A87FCA" w:rsidRPr="00A87FCA" w:rsidRDefault="00A87FCA" w:rsidP="00A87FCA">
      <w:pPr>
        <w:rPr>
          <w:color w:val="215E99" w:themeColor="text2" w:themeTint="BF"/>
        </w:rPr>
      </w:pPr>
      <w:r w:rsidRPr="00A87FCA">
        <w:rPr>
          <w:b/>
          <w:bCs/>
          <w:color w:val="215E99" w:themeColor="text2" w:themeTint="BF"/>
        </w:rPr>
        <w:lastRenderedPageBreak/>
        <w:t>Resultados:</w:t>
      </w:r>
      <w:r w:rsidRPr="00A87FCA">
        <w:rPr>
          <w:color w:val="215E99" w:themeColor="text2" w:themeTint="BF"/>
        </w:rPr>
        <w:br/>
        <w:t xml:space="preserve">Entre os 60.804 casos de TB registrados no SINAN, 21.197 (34,9%) foram incluídos no estudo. A frequência de desfechos desfavoráveis foi significativamente maior nos casos com </w:t>
      </w:r>
      <w:proofErr w:type="spellStart"/>
      <w:r w:rsidRPr="00A87FCA">
        <w:rPr>
          <w:color w:val="215E99" w:themeColor="text2" w:themeTint="BF"/>
        </w:rPr>
        <w:t>Hr</w:t>
      </w:r>
      <w:proofErr w:type="spellEnd"/>
      <w:r w:rsidRPr="00A87FCA">
        <w:rPr>
          <w:color w:val="215E99" w:themeColor="text2" w:themeTint="BF"/>
        </w:rPr>
        <w:t xml:space="preserve"> em comparação com pessoas sensíveis à isoniazida com TB pulmonar (9,1% contra 3,05%; P &lt; 0,001). Usando um modelo de regressão logística binomial, a </w:t>
      </w:r>
      <w:proofErr w:type="spellStart"/>
      <w:r w:rsidRPr="00A87FCA">
        <w:rPr>
          <w:color w:val="215E99" w:themeColor="text2" w:themeTint="BF"/>
        </w:rPr>
        <w:t>Hr</w:t>
      </w:r>
      <w:proofErr w:type="spellEnd"/>
      <w:r w:rsidRPr="00A87FCA">
        <w:rPr>
          <w:color w:val="215E99" w:themeColor="text2" w:themeTint="BF"/>
        </w:rPr>
        <w:t xml:space="preserve"> foi independentemente associada a desfechos desfavoráveis (razão de chances, 3,34 [intervalo de confiança de 95%, 2,06–5,40]; P &lt; 0,001).</w:t>
      </w:r>
    </w:p>
    <w:p w14:paraId="1B1771A7" w14:textId="5A2DE141" w:rsidR="00A87FCA" w:rsidRPr="00A87FCA" w:rsidRDefault="00A87FCA" w:rsidP="00A87FCA">
      <w:pPr>
        <w:rPr>
          <w:color w:val="215E99" w:themeColor="text2" w:themeTint="BF"/>
        </w:rPr>
      </w:pPr>
      <w:r w:rsidRPr="00A87FCA">
        <w:rPr>
          <w:b/>
          <w:bCs/>
          <w:color w:val="215E99" w:themeColor="text2" w:themeTint="BF"/>
        </w:rPr>
        <w:t>Conclusões:</w:t>
      </w:r>
      <w:r w:rsidRPr="00A87FCA">
        <w:rPr>
          <w:color w:val="215E99" w:themeColor="text2" w:themeTint="BF"/>
        </w:rPr>
        <w:br/>
        <w:t xml:space="preserve">A </w:t>
      </w:r>
      <w:proofErr w:type="spellStart"/>
      <w:r w:rsidRPr="00A87FCA">
        <w:rPr>
          <w:color w:val="215E99" w:themeColor="text2" w:themeTint="BF"/>
        </w:rPr>
        <w:t>Hr</w:t>
      </w:r>
      <w:proofErr w:type="spellEnd"/>
      <w:r w:rsidRPr="00A87FCA">
        <w:rPr>
          <w:color w:val="215E99" w:themeColor="text2" w:themeTint="BF"/>
        </w:rPr>
        <w:t xml:space="preserve"> detectada antes do TAT foi preditiva de desfechos desfavoráveis em nível nacional no Brasil. Nossos dados reforçam a necessidade dos países com alta carga de TB priorizarem os testes de sensibilidade a drogas para detectar </w:t>
      </w:r>
      <w:proofErr w:type="spellStart"/>
      <w:r w:rsidRPr="00A87FCA">
        <w:rPr>
          <w:color w:val="215E99" w:themeColor="text2" w:themeTint="BF"/>
        </w:rPr>
        <w:t>Hr</w:t>
      </w:r>
      <w:proofErr w:type="spellEnd"/>
      <w:r w:rsidRPr="00A87FCA">
        <w:rPr>
          <w:color w:val="215E99" w:themeColor="text2" w:themeTint="BF"/>
        </w:rPr>
        <w:t xml:space="preserve">. Regimes de tratamento eficazes para TB com </w:t>
      </w:r>
      <w:proofErr w:type="spellStart"/>
      <w:r w:rsidRPr="00A87FCA">
        <w:rPr>
          <w:color w:val="215E99" w:themeColor="text2" w:themeTint="BF"/>
        </w:rPr>
        <w:t>Hr</w:t>
      </w:r>
      <w:proofErr w:type="spellEnd"/>
      <w:r w:rsidRPr="00A87FCA">
        <w:rPr>
          <w:color w:val="215E99" w:themeColor="text2" w:themeTint="BF"/>
        </w:rPr>
        <w:t xml:space="preserve"> são necessários para melhorar os desfechos.</w:t>
      </w:r>
    </w:p>
    <w:p w14:paraId="69570F84" w14:textId="77777777" w:rsidR="00A87FCA" w:rsidRPr="00CF34FC" w:rsidRDefault="00A87FCA">
      <w:pPr>
        <w:rPr>
          <w:color w:val="215E99" w:themeColor="text2" w:themeTint="BF"/>
        </w:rPr>
      </w:pPr>
    </w:p>
    <w:sectPr w:rsidR="00A87FCA" w:rsidRPr="00CF34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FCA"/>
    <w:rsid w:val="00430816"/>
    <w:rsid w:val="00A87FCA"/>
    <w:rsid w:val="00CF34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97F67"/>
  <w15:chartTrackingRefBased/>
  <w15:docId w15:val="{801B3A3D-7A5F-4017-8492-C265AB72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87F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87F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87FC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87FC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87FC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87FC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87FC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87FC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87FC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87FC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87FC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87FC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87FC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87FC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87FC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87FC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87FC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87FCA"/>
    <w:rPr>
      <w:rFonts w:eastAsiaTheme="majorEastAsia" w:cstheme="majorBidi"/>
      <w:color w:val="272727" w:themeColor="text1" w:themeTint="D8"/>
    </w:rPr>
  </w:style>
  <w:style w:type="paragraph" w:styleId="Ttulo">
    <w:name w:val="Title"/>
    <w:basedOn w:val="Normal"/>
    <w:next w:val="Normal"/>
    <w:link w:val="TtuloChar"/>
    <w:uiPriority w:val="10"/>
    <w:qFormat/>
    <w:rsid w:val="00A87F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87FC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87FC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87FC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87FCA"/>
    <w:pPr>
      <w:spacing w:before="160"/>
      <w:jc w:val="center"/>
    </w:pPr>
    <w:rPr>
      <w:i/>
      <w:iCs/>
      <w:color w:val="404040" w:themeColor="text1" w:themeTint="BF"/>
    </w:rPr>
  </w:style>
  <w:style w:type="character" w:customStyle="1" w:styleId="CitaoChar">
    <w:name w:val="Citação Char"/>
    <w:basedOn w:val="Fontepargpadro"/>
    <w:link w:val="Citao"/>
    <w:uiPriority w:val="29"/>
    <w:rsid w:val="00A87FCA"/>
    <w:rPr>
      <w:i/>
      <w:iCs/>
      <w:color w:val="404040" w:themeColor="text1" w:themeTint="BF"/>
    </w:rPr>
  </w:style>
  <w:style w:type="paragraph" w:styleId="PargrafodaLista">
    <w:name w:val="List Paragraph"/>
    <w:basedOn w:val="Normal"/>
    <w:uiPriority w:val="34"/>
    <w:qFormat/>
    <w:rsid w:val="00A87FCA"/>
    <w:pPr>
      <w:ind w:left="720"/>
      <w:contextualSpacing/>
    </w:pPr>
  </w:style>
  <w:style w:type="character" w:styleId="nfaseIntensa">
    <w:name w:val="Intense Emphasis"/>
    <w:basedOn w:val="Fontepargpadro"/>
    <w:uiPriority w:val="21"/>
    <w:qFormat/>
    <w:rsid w:val="00A87FCA"/>
    <w:rPr>
      <w:i/>
      <w:iCs/>
      <w:color w:val="0F4761" w:themeColor="accent1" w:themeShade="BF"/>
    </w:rPr>
  </w:style>
  <w:style w:type="paragraph" w:styleId="CitaoIntensa">
    <w:name w:val="Intense Quote"/>
    <w:basedOn w:val="Normal"/>
    <w:next w:val="Normal"/>
    <w:link w:val="CitaoIntensaChar"/>
    <w:uiPriority w:val="30"/>
    <w:qFormat/>
    <w:rsid w:val="00A87F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87FCA"/>
    <w:rPr>
      <w:i/>
      <w:iCs/>
      <w:color w:val="0F4761" w:themeColor="accent1" w:themeShade="BF"/>
    </w:rPr>
  </w:style>
  <w:style w:type="character" w:styleId="RefernciaIntensa">
    <w:name w:val="Intense Reference"/>
    <w:basedOn w:val="Fontepargpadro"/>
    <w:uiPriority w:val="32"/>
    <w:qFormat/>
    <w:rsid w:val="00A87F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189766">
      <w:bodyDiv w:val="1"/>
      <w:marLeft w:val="0"/>
      <w:marRight w:val="0"/>
      <w:marTop w:val="0"/>
      <w:marBottom w:val="0"/>
      <w:divBdr>
        <w:top w:val="none" w:sz="0" w:space="0" w:color="auto"/>
        <w:left w:val="none" w:sz="0" w:space="0" w:color="auto"/>
        <w:bottom w:val="none" w:sz="0" w:space="0" w:color="auto"/>
        <w:right w:val="none" w:sz="0" w:space="0" w:color="auto"/>
      </w:divBdr>
      <w:divsChild>
        <w:div w:id="221137073">
          <w:marLeft w:val="0"/>
          <w:marRight w:val="0"/>
          <w:marTop w:val="0"/>
          <w:marBottom w:val="0"/>
          <w:divBdr>
            <w:top w:val="none" w:sz="0" w:space="0" w:color="auto"/>
            <w:left w:val="none" w:sz="0" w:space="0" w:color="auto"/>
            <w:bottom w:val="none" w:sz="0" w:space="0" w:color="auto"/>
            <w:right w:val="none" w:sz="0" w:space="0" w:color="auto"/>
          </w:divBdr>
          <w:divsChild>
            <w:div w:id="459080851">
              <w:marLeft w:val="0"/>
              <w:marRight w:val="0"/>
              <w:marTop w:val="0"/>
              <w:marBottom w:val="0"/>
              <w:divBdr>
                <w:top w:val="none" w:sz="0" w:space="0" w:color="auto"/>
                <w:left w:val="none" w:sz="0" w:space="0" w:color="auto"/>
                <w:bottom w:val="none" w:sz="0" w:space="0" w:color="auto"/>
                <w:right w:val="none" w:sz="0" w:space="0" w:color="auto"/>
              </w:divBdr>
              <w:divsChild>
                <w:div w:id="426969666">
                  <w:marLeft w:val="0"/>
                  <w:marRight w:val="0"/>
                  <w:marTop w:val="0"/>
                  <w:marBottom w:val="0"/>
                  <w:divBdr>
                    <w:top w:val="none" w:sz="0" w:space="0" w:color="auto"/>
                    <w:left w:val="none" w:sz="0" w:space="0" w:color="auto"/>
                    <w:bottom w:val="none" w:sz="0" w:space="0" w:color="auto"/>
                    <w:right w:val="none" w:sz="0" w:space="0" w:color="auto"/>
                  </w:divBdr>
                  <w:divsChild>
                    <w:div w:id="153931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622446">
          <w:marLeft w:val="0"/>
          <w:marRight w:val="0"/>
          <w:marTop w:val="0"/>
          <w:marBottom w:val="0"/>
          <w:divBdr>
            <w:top w:val="none" w:sz="0" w:space="0" w:color="auto"/>
            <w:left w:val="none" w:sz="0" w:space="0" w:color="auto"/>
            <w:bottom w:val="none" w:sz="0" w:space="0" w:color="auto"/>
            <w:right w:val="none" w:sz="0" w:space="0" w:color="auto"/>
          </w:divBdr>
          <w:divsChild>
            <w:div w:id="1773167244">
              <w:marLeft w:val="0"/>
              <w:marRight w:val="0"/>
              <w:marTop w:val="0"/>
              <w:marBottom w:val="0"/>
              <w:divBdr>
                <w:top w:val="none" w:sz="0" w:space="0" w:color="auto"/>
                <w:left w:val="none" w:sz="0" w:space="0" w:color="auto"/>
                <w:bottom w:val="none" w:sz="0" w:space="0" w:color="auto"/>
                <w:right w:val="none" w:sz="0" w:space="0" w:color="auto"/>
              </w:divBdr>
              <w:divsChild>
                <w:div w:id="564990236">
                  <w:marLeft w:val="0"/>
                  <w:marRight w:val="0"/>
                  <w:marTop w:val="0"/>
                  <w:marBottom w:val="0"/>
                  <w:divBdr>
                    <w:top w:val="none" w:sz="0" w:space="0" w:color="auto"/>
                    <w:left w:val="none" w:sz="0" w:space="0" w:color="auto"/>
                    <w:bottom w:val="none" w:sz="0" w:space="0" w:color="auto"/>
                    <w:right w:val="none" w:sz="0" w:space="0" w:color="auto"/>
                  </w:divBdr>
                  <w:divsChild>
                    <w:div w:id="157424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960496">
      <w:bodyDiv w:val="1"/>
      <w:marLeft w:val="0"/>
      <w:marRight w:val="0"/>
      <w:marTop w:val="0"/>
      <w:marBottom w:val="0"/>
      <w:divBdr>
        <w:top w:val="none" w:sz="0" w:space="0" w:color="auto"/>
        <w:left w:val="none" w:sz="0" w:space="0" w:color="auto"/>
        <w:bottom w:val="none" w:sz="0" w:space="0" w:color="auto"/>
        <w:right w:val="none" w:sz="0" w:space="0" w:color="auto"/>
      </w:divBdr>
      <w:divsChild>
        <w:div w:id="1809008460">
          <w:marLeft w:val="0"/>
          <w:marRight w:val="0"/>
          <w:marTop w:val="0"/>
          <w:marBottom w:val="0"/>
          <w:divBdr>
            <w:top w:val="none" w:sz="0" w:space="0" w:color="auto"/>
            <w:left w:val="none" w:sz="0" w:space="0" w:color="auto"/>
            <w:bottom w:val="none" w:sz="0" w:space="0" w:color="auto"/>
            <w:right w:val="none" w:sz="0" w:space="0" w:color="auto"/>
          </w:divBdr>
          <w:divsChild>
            <w:div w:id="785541230">
              <w:marLeft w:val="0"/>
              <w:marRight w:val="0"/>
              <w:marTop w:val="0"/>
              <w:marBottom w:val="0"/>
              <w:divBdr>
                <w:top w:val="none" w:sz="0" w:space="0" w:color="auto"/>
                <w:left w:val="none" w:sz="0" w:space="0" w:color="auto"/>
                <w:bottom w:val="none" w:sz="0" w:space="0" w:color="auto"/>
                <w:right w:val="none" w:sz="0" w:space="0" w:color="auto"/>
              </w:divBdr>
              <w:divsChild>
                <w:div w:id="762263410">
                  <w:marLeft w:val="0"/>
                  <w:marRight w:val="0"/>
                  <w:marTop w:val="0"/>
                  <w:marBottom w:val="0"/>
                  <w:divBdr>
                    <w:top w:val="none" w:sz="0" w:space="0" w:color="auto"/>
                    <w:left w:val="none" w:sz="0" w:space="0" w:color="auto"/>
                    <w:bottom w:val="none" w:sz="0" w:space="0" w:color="auto"/>
                    <w:right w:val="none" w:sz="0" w:space="0" w:color="auto"/>
                  </w:divBdr>
                  <w:divsChild>
                    <w:div w:id="205515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5683">
          <w:marLeft w:val="0"/>
          <w:marRight w:val="0"/>
          <w:marTop w:val="0"/>
          <w:marBottom w:val="0"/>
          <w:divBdr>
            <w:top w:val="none" w:sz="0" w:space="0" w:color="auto"/>
            <w:left w:val="none" w:sz="0" w:space="0" w:color="auto"/>
            <w:bottom w:val="none" w:sz="0" w:space="0" w:color="auto"/>
            <w:right w:val="none" w:sz="0" w:space="0" w:color="auto"/>
          </w:divBdr>
          <w:divsChild>
            <w:div w:id="559365741">
              <w:marLeft w:val="0"/>
              <w:marRight w:val="0"/>
              <w:marTop w:val="0"/>
              <w:marBottom w:val="0"/>
              <w:divBdr>
                <w:top w:val="none" w:sz="0" w:space="0" w:color="auto"/>
                <w:left w:val="none" w:sz="0" w:space="0" w:color="auto"/>
                <w:bottom w:val="none" w:sz="0" w:space="0" w:color="auto"/>
                <w:right w:val="none" w:sz="0" w:space="0" w:color="auto"/>
              </w:divBdr>
              <w:divsChild>
                <w:div w:id="594828312">
                  <w:marLeft w:val="0"/>
                  <w:marRight w:val="0"/>
                  <w:marTop w:val="0"/>
                  <w:marBottom w:val="0"/>
                  <w:divBdr>
                    <w:top w:val="none" w:sz="0" w:space="0" w:color="auto"/>
                    <w:left w:val="none" w:sz="0" w:space="0" w:color="auto"/>
                    <w:bottom w:val="none" w:sz="0" w:space="0" w:color="auto"/>
                    <w:right w:val="none" w:sz="0" w:space="0" w:color="auto"/>
                  </w:divBdr>
                  <w:divsChild>
                    <w:div w:id="10761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498</Words>
  <Characters>2690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CPAI 6 - Fernanda Freitas</dc:creator>
  <cp:keywords/>
  <dc:description/>
  <cp:lastModifiedBy>CPAI 6 - Fernanda Freitas</cp:lastModifiedBy>
  <cp:revision>2</cp:revision>
  <dcterms:created xsi:type="dcterms:W3CDTF">2024-11-12T14:02:00Z</dcterms:created>
  <dcterms:modified xsi:type="dcterms:W3CDTF">2024-11-12T18:33:00Z</dcterms:modified>
</cp:coreProperties>
</file>