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Tuberculosis Burden and Determinants of Treatment Outcomes According to Age in Brazil: A Nationwide Study of 896,314 Cases Reported Between 2010 and 2019</w:t>
      </w:r>
    </w:p>
    <w:p w:rsidR="00000000" w:rsidDel="00000000" w:rsidP="00000000" w:rsidRDefault="00000000" w:rsidRPr="00000000" w14:paraId="00000002">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3">
      <w:pPr>
        <w:spacing w:after="24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Abstract:  </w:t>
      </w:r>
    </w:p>
    <w:p w:rsidR="00000000" w:rsidDel="00000000" w:rsidP="00000000" w:rsidRDefault="00000000" w:rsidRPr="00000000" w14:paraId="00000004">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8"/>
          <w:szCs w:val="28"/>
          <w:rtl w:val="0"/>
        </w:rPr>
        <w:t xml:space="preserve">Methods: We analyzed data from the Brazilian </w:t>
      </w:r>
      <w:sdt>
        <w:sdtPr>
          <w:id w:val="592587379"/>
          <w:tag w:val="goog_rdk_0"/>
        </w:sdtPr>
        <w:sdtContent>
          <w:r w:rsidDel="00000000" w:rsidR="00000000" w:rsidRPr="00000000">
            <w:rPr>
              <w:rFonts w:ascii="Arial Unicode MS" w:cs="Arial Unicode MS" w:eastAsia="Arial Unicode MS" w:hAnsi="Arial Unicode MS"/>
              <w:b w:val="1"/>
              <w:bCs w:val="1"/>
              <w:sz w:val="24"/>
              <w:szCs w:val="24"/>
              <w:rtl w:val="0"/>
            </w:rPr>
            <w:t xml:space="preserve">National Notifiable Diseases Information System (SINAN) for 896,314 TB cases reported between 2010 and 2019. Patients were stratified into four age groups: children (&lt;10 years), young (10–24 years), adults (25–64 years), and elderly (≥65 years). Multivariable logistic regression identified factors associated with unfavorable outcomes (treatment failure, loss to follow-up, relapse, or death).</w:t>
          </w:r>
        </w:sdtContent>
      </w:sdt>
    </w:p>
    <w:p w:rsidR="00000000" w:rsidDel="00000000" w:rsidP="00000000" w:rsidRDefault="00000000" w:rsidRPr="00000000" w14:paraId="00000005">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Results: TB incidence was highest among adult males, but young males showed the highest growth rate during the period. Directly observed therapy (DOT) was associated with protection against unfavorable outcomes in all age groups. Risk factors for unfavorable outcomes varied by age: prior TB, lack of DOT, and pulmonary-extrapulmonary TB were significant in children , while HIV infection, illicit drug use, and smoking were also prominent in young people and adults. Mortality was highest among the elderly (18.6%).</w:t>
      </w:r>
    </w:p>
    <w:p w:rsidR="00000000" w:rsidDel="00000000" w:rsidP="00000000" w:rsidRDefault="00000000" w:rsidRPr="00000000" w14:paraId="00000006">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Conclusions: Determinants of TB outcomes are age-specific in Brazil. The findings support the universal implementation of DOT and highlight young and adult males as priority groups for prevention efforts.</w:t>
      </w:r>
    </w:p>
    <w:p w:rsidR="00000000" w:rsidDel="00000000" w:rsidP="00000000" w:rsidRDefault="00000000" w:rsidRPr="00000000" w14:paraId="00000007">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Keywords: tuberculosis; age; outcomes; pulmonary TB; extrapulmonary TB.</w:t>
      </w:r>
    </w:p>
    <w:p w:rsidR="00000000" w:rsidDel="00000000" w:rsidP="00000000" w:rsidRDefault="00000000" w:rsidRPr="00000000" w14:paraId="00000008">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9">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A">
      <w:pPr>
        <w:spacing w:after="240" w:line="276" w:lineRule="auto"/>
        <w:rPr>
          <w:rFonts w:ascii="Arial" w:cs="Arial" w:eastAsia="Arial" w:hAnsi="Arial"/>
          <w:b w:val="1"/>
          <w:bCs w:val="1"/>
          <w:color w:val="0b5394"/>
          <w:sz w:val="30"/>
          <w:szCs w:val="30"/>
        </w:rPr>
      </w:pPr>
      <w:r w:rsidDel="00000000" w:rsidR="00000000" w:rsidRPr="00000000">
        <w:rPr>
          <w:rFonts w:ascii="Arial" w:cs="Arial" w:eastAsia="Arial" w:hAnsi="Arial"/>
          <w:b w:val="1"/>
          <w:bCs w:val="1"/>
          <w:color w:val="0b5394"/>
          <w:sz w:val="30"/>
          <w:szCs w:val="30"/>
          <w:rtl w:val="0"/>
        </w:rPr>
        <w:t xml:space="preserve">Carga da Tuberculose e Determinantes dos Desfechos do Tratamento Segundo a Idade no Brasil: Um Estudo Nacional de 896.314 Casos Notificados Entre 2010 e 2019</w:t>
      </w:r>
    </w:p>
    <w:p w:rsidR="00000000" w:rsidDel="00000000" w:rsidP="00000000" w:rsidRDefault="00000000" w:rsidRPr="00000000" w14:paraId="0000000B">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C">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D">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Resumo </w:t>
      </w:r>
    </w:p>
    <w:p w:rsidR="00000000" w:rsidDel="00000000" w:rsidP="00000000" w:rsidRDefault="00000000" w:rsidRPr="00000000" w14:paraId="0000000F">
      <w:pPr>
        <w:spacing w:after="240" w:line="276" w:lineRule="auto"/>
        <w:rPr>
          <w:rFonts w:ascii="Arial" w:cs="Arial" w:eastAsia="Arial" w:hAnsi="Arial"/>
          <w:b w:val="1"/>
          <w:bCs w:val="1"/>
        </w:rPr>
      </w:pPr>
      <w:sdt>
        <w:sdtPr>
          <w:id w:val="-1301323288"/>
          <w:tag w:val="goog_rdk_1"/>
        </w:sdtPr>
        <w:sdtContent>
          <w:r w:rsidDel="00000000" w:rsidR="00000000" w:rsidRPr="00000000">
            <w:rPr>
              <w:rFonts w:ascii="Arial Unicode MS" w:cs="Arial Unicode MS" w:eastAsia="Arial Unicode MS" w:hAnsi="Arial Unicode MS"/>
              <w:b w:val="1"/>
              <w:bCs w:val="1"/>
              <w:rtl w:val="0"/>
            </w:rPr>
            <w:t xml:space="preserve">Métodos: Foram analisados dados do Sistema de Informação de Agravos de Notificação (SINAN) de 896.314 casos de TB entre 2010 e 2019. Os pacientes foram estratificados em quatro grupos: crianças (&lt;10 anos), jovens (10–24 anos), adultos (25–64 anos) e idosos (≥65 anos). Regressões logísticas identificaram fatores associados a desfechos desfavoráveis (falha, abandono, recidiva ou óbito). </w:t>
          </w:r>
        </w:sdtContent>
      </w:sdt>
    </w:p>
    <w:p w:rsidR="00000000" w:rsidDel="00000000" w:rsidP="00000000" w:rsidRDefault="00000000" w:rsidRPr="00000000" w14:paraId="00000010">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Resultados: A incidência de TB foi maior em homens adultos, mas homens jovens apresentaram a maior taxa de crescimento no período. O tratamento diretamente observado (TDO) foi associado à proteção contra desfechos desfavoráveis em todas as faixas etárias. Os fatores de risco variaram por idade: TB prévia, ausência de TDO e TB mista (pulmonar e extrapulmonar) foram significativos em crianças , enquanto infecção por HIV, uso de drogas ilícitas e tabagismo também foram proeminentes em jovens e adultos. A mortalidade foi maior entre os idosos (18,6%).</w:t>
      </w:r>
    </w:p>
    <w:p w:rsidR="00000000" w:rsidDel="00000000" w:rsidP="00000000" w:rsidRDefault="00000000" w:rsidRPr="00000000" w14:paraId="00000011">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Conclusões: Os determinantes dos desfechos da TB são específicos para cada faixa etária no Brasil. Os achados apoiam a implementação universal do TDO e destacam homens jovens e adultos como grupos prioritários para esforços de prevenção.</w:t>
      </w:r>
    </w:p>
    <w:p w:rsidR="00000000" w:rsidDel="00000000" w:rsidP="00000000" w:rsidRDefault="00000000" w:rsidRPr="00000000" w14:paraId="00000012">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Palavras-chave: tuberculose; idade; desfechos; TB pulmonar; TB extrapulmonar.</w:t>
      </w:r>
    </w:p>
    <w:p w:rsidR="00000000" w:rsidDel="00000000" w:rsidP="00000000" w:rsidRDefault="00000000" w:rsidRPr="00000000" w14:paraId="00000013">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spacing w:after="240" w:befor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F">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spacing w:after="24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spacing w:after="240" w:before="240" w:line="276"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5">
      <w:pPr>
        <w:spacing w:after="240" w:line="276" w:lineRule="auto"/>
        <w:rPr>
          <w:rFonts w:ascii="Arial" w:cs="Arial" w:eastAsia="Arial" w:hAnsi="Arial"/>
          <w:b w:val="1"/>
          <w:bCs w:val="1"/>
          <w:color w:val="0b5394"/>
        </w:rPr>
      </w:pPr>
      <w:r w:rsidDel="00000000" w:rsidR="00000000" w:rsidRPr="00000000">
        <w:rPr>
          <w:rtl w:val="0"/>
        </w:rPr>
      </w:r>
    </w:p>
    <w:p w:rsidR="00000000" w:rsidDel="00000000" w:rsidP="00000000" w:rsidRDefault="00000000" w:rsidRPr="00000000" w14:paraId="00000026">
      <w:pPr>
        <w:spacing w:after="240" w:line="276" w:lineRule="auto"/>
        <w:rPr>
          <w:rFonts w:ascii="Arial" w:cs="Arial" w:eastAsia="Arial" w:hAnsi="Arial"/>
          <w:b w:val="1"/>
          <w:bCs w:val="1"/>
          <w:color w:val="0b539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f8HbQwWQRsHsvpLVudQeayUgA==">CgMxLjAaJAoBMBIfCh0IB0IZCgVBcmlhbBIQQXJpYWwgVW5pY29kZSBNUxokCgExEh8KHQgHQhkKBUFyaWFsEhBBcmlhbCBVbmljb2RlIE1TOAByITFYQWZoSjQ1cU5vOWphUi1VaHNYT3Bta3NBOHJrazNoMw==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