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Effect of Dysglycemia on Urinary Lipid Mediator Profiles in Persons With Pulmonary Tuberculosis.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76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Abstract::</w:t>
      </w:r>
      <w:r w:rsidDel="00000000" w:rsidR="00000000" w:rsidRPr="00000000">
        <w:rPr>
          <w:rFonts w:ascii="Arial" w:cs="Arial" w:eastAsia="Arial" w:hAnsi="Arial"/>
          <w:rtl w:val="0"/>
        </w:rPr>
        <w:t xml:space="preserve"> A multi-site prospective observational study was conducted in Brazil and South Africa with adults with drug-sensitive pulmonary TB and controls, stratified by dysglycemia status. Urinary eicosanoid metabolites (including PGE-M, PGD-M, PGI-M, and $LTE_{4}$) were measured before anti-TB treatment (ATT) and at 2 and 6 months after initiation. PGE-M and $LTE_{4}$ values were consistently higher at all three time-points in the TB-dysglycemia group compared to other groups. TB-dysglycemia was independently associated with increased concentrations of PGD-M, PGI-M, and $LTE_{4}$ at baseline. These associations were not affected by HIV status.The urinary eicosanoid metabolite profile was associated with TB-dysglycemia before and during ATT. These findings help identify mechanisms involved in the pathogenesis of this comorbidity and potential biomarkers for treatment outcomes.</w:t>
      </w:r>
    </w:p>
    <w:p w:rsidR="00000000" w:rsidDel="00000000" w:rsidP="00000000" w:rsidRDefault="00000000" w:rsidRPr="00000000" w14:paraId="00000004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Keywords:</w:t>
      </w:r>
      <w:r w:rsidDel="00000000" w:rsidR="00000000" w:rsidRPr="00000000">
        <w:rPr>
          <w:rFonts w:ascii="Arial" w:cs="Arial" w:eastAsia="Arial" w:hAnsi="Arial"/>
          <w:rtl w:val="0"/>
        </w:rPr>
        <w:t xml:space="preserve"> dysglycemia; Mycobacterium tuberculosis; urinary eicosanoids; lipid mediators; anti-tuberculosis treatment</w:t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Efeito da Disglicemia nos Perfis de Mediadores Lipídicos Urinários em Pessoas com Tuberculose Pulmonar.</w:t>
      </w:r>
    </w:p>
    <w:p w:rsidR="00000000" w:rsidDel="00000000" w:rsidP="00000000" w:rsidRDefault="00000000" w:rsidRPr="00000000" w14:paraId="00000008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5394"/>
          <w:sz w:val="24"/>
          <w:szCs w:val="24"/>
          <w:rtl w:val="0"/>
        </w:rPr>
        <w:t xml:space="preserve">Contatos próximos $\le18$ anos de pacientes com TB pulmonar recrutados entre 2015 e 2019 em uma coorte multicêntrica brasileira foram acompanhados por até 24 meses. Foram coletados dados sobre investigação clínica, exame radiográfico, teste IGRA e início/conclusão do tratamento preventivo da TB (TPT). Entre 530 contatos $\le18$ anos, as perdas em todas as etapas da cascata foram especialmente altas em crianças &lt;5 anos (88%). A conclusão do TPT foi baixa (entre 10% e 13%) em todas as faixas etárias. A menor idade dos contatos e casos de TB índice que eram do sexo feminino, possuíam cavidades pulmonares e tosse persistente foram independentemente associados a perdas na cascata de cuidado.</w:t>
      </w:r>
    </w:p>
    <w:p w:rsidR="00000000" w:rsidDel="00000000" w:rsidP="00000000" w:rsidRDefault="00000000" w:rsidRPr="00000000" w14:paraId="0000000B">
      <w:pPr>
        <w:spacing w:after="240" w:line="276" w:lineRule="auto"/>
        <w:rPr>
          <w:rFonts w:ascii="Arial" w:cs="Arial" w:eastAsia="Arial" w:hAnsi="Arial"/>
          <w:color w:val="0b539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color w:val="0b5394"/>
          <w:sz w:val="24"/>
          <w:szCs w:val="24"/>
          <w:rtl w:val="0"/>
        </w:rPr>
        <w:t xml:space="preserve"> Tuberculose latente; Contato; Pediátrico; Cascata de TBI; Crianças.</w:t>
      </w:r>
    </w:p>
    <w:p w:rsidR="00000000" w:rsidDel="00000000" w:rsidP="00000000" w:rsidRDefault="00000000" w:rsidRPr="00000000" w14:paraId="0000000C">
      <w:pPr>
        <w:spacing w:after="240" w:line="276" w:lineRule="auto"/>
        <w:rPr>
          <w:rFonts w:ascii="Arial" w:cs="Arial" w:eastAsia="Arial" w:hAnsi="Arial"/>
          <w:color w:val="3c78d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7RQI6qmol4W3GxwkdqmzdIQBDA==">CgMxLjA4AHIhMTN2cWh6RXBjNzlVZ3JOWHEwR3pxLUM2cU8xdm9oRXdx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