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2019</w:t>
      </w:r>
    </w:p>
    <w:p w:rsidR="00000000" w:rsidDel="00000000" w:rsidP="00000000" w:rsidRDefault="00000000" w:rsidRPr="00000000" w14:paraId="00000002">
      <w:pPr>
        <w:spacing w:after="240" w:line="276"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A parsimonious host-blood 2-gene signature predicts incident tuberculosis</w:t>
      </w:r>
    </w:p>
    <w:p w:rsidR="00000000" w:rsidDel="00000000" w:rsidP="00000000" w:rsidRDefault="00000000" w:rsidRPr="00000000" w14:paraId="00000003">
      <w:pPr>
        <w:spacing w:after="240" w:line="276"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4">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Background:</w:t>
      </w:r>
    </w:p>
    <w:p w:rsidR="00000000" w:rsidDel="00000000" w:rsidP="00000000" w:rsidRDefault="00000000" w:rsidRPr="00000000" w14:paraId="00000005">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The World Health Organization’s End TB Strategy requires new tools to identify individuals at high risk of progressing from </w:t>
      </w:r>
      <w:r w:rsidDel="00000000" w:rsidR="00000000" w:rsidRPr="00000000">
        <w:rPr>
          <w:rFonts w:ascii="Arial" w:cs="Arial" w:eastAsia="Arial" w:hAnsi="Arial"/>
          <w:b w:val="1"/>
          <w:bCs w:val="1"/>
          <w:i w:val="1"/>
          <w:iCs w:val="1"/>
          <w:sz w:val="24"/>
          <w:szCs w:val="24"/>
          <w:rtl w:val="0"/>
        </w:rPr>
        <w:t xml:space="preserve">Mycobacterium tuberculosis</w:t>
      </w:r>
      <w:r w:rsidDel="00000000" w:rsidR="00000000" w:rsidRPr="00000000">
        <w:rPr>
          <w:rFonts w:ascii="Arial" w:cs="Arial" w:eastAsia="Arial" w:hAnsi="Arial"/>
          <w:b w:val="1"/>
          <w:bCs w:val="1"/>
          <w:sz w:val="24"/>
          <w:szCs w:val="24"/>
          <w:rtl w:val="0"/>
        </w:rPr>
        <w:t xml:space="preserve"> infection to active disease. While several host-blood transcriptomic signatures have been developed, their large number of genes makes them difficult to implement in resource-limited settings. There is an urgent need for simpler, parsimonious biomarkers that can be easily translated into point-of-care diagnostic platforms.</w:t>
      </w:r>
    </w:p>
    <w:p w:rsidR="00000000" w:rsidDel="00000000" w:rsidP="00000000" w:rsidRDefault="00000000" w:rsidRPr="00000000" w14:paraId="00000006">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Abstract:</w:t>
      </w:r>
    </w:p>
    <w:p w:rsidR="00000000" w:rsidDel="00000000" w:rsidP="00000000" w:rsidRDefault="00000000" w:rsidRPr="00000000" w14:paraId="00000007">
      <w:pPr>
        <w:numPr>
          <w:ilvl w:val="0"/>
          <w:numId w:val="1"/>
        </w:numPr>
        <w:spacing w:after="0" w:afterAutospacing="0" w:line="276"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Methods: We developed a 2-gene transcriptomic signature (Silveira-Mattos-2 or SM2) using RNA-sequencing data from a South African adolescent cohort. The signature, consisting of the ratio of </w:t>
      </w:r>
      <w:r w:rsidDel="00000000" w:rsidR="00000000" w:rsidRPr="00000000">
        <w:rPr>
          <w:rFonts w:ascii="Arial" w:cs="Arial" w:eastAsia="Arial" w:hAnsi="Arial"/>
          <w:b w:val="1"/>
          <w:bCs w:val="1"/>
          <w:i w:val="1"/>
          <w:iCs w:val="1"/>
          <w:sz w:val="24"/>
          <w:szCs w:val="24"/>
          <w:rtl w:val="0"/>
        </w:rPr>
        <w:t xml:space="preserve">GBP5</w:t>
      </w:r>
      <w:r w:rsidDel="00000000" w:rsidR="00000000" w:rsidRPr="00000000">
        <w:rPr>
          <w:rFonts w:ascii="Arial" w:cs="Arial" w:eastAsia="Arial" w:hAnsi="Arial"/>
          <w:b w:val="1"/>
          <w:bCs w:val="1"/>
          <w:sz w:val="24"/>
          <w:szCs w:val="24"/>
          <w:rtl w:val="0"/>
        </w:rPr>
        <w:t xml:space="preserve"> and </w:t>
      </w:r>
      <w:r w:rsidDel="00000000" w:rsidR="00000000" w:rsidRPr="00000000">
        <w:rPr>
          <w:rFonts w:ascii="Arial" w:cs="Arial" w:eastAsia="Arial" w:hAnsi="Arial"/>
          <w:b w:val="1"/>
          <w:bCs w:val="1"/>
          <w:i w:val="1"/>
          <w:iCs w:val="1"/>
          <w:sz w:val="24"/>
          <w:szCs w:val="24"/>
          <w:rtl w:val="0"/>
        </w:rPr>
        <w:t xml:space="preserve">KIF1B</w:t>
      </w:r>
      <w:r w:rsidDel="00000000" w:rsidR="00000000" w:rsidRPr="00000000">
        <w:rPr>
          <w:rFonts w:ascii="Arial" w:cs="Arial" w:eastAsia="Arial" w:hAnsi="Arial"/>
          <w:b w:val="1"/>
          <w:bCs w:val="1"/>
          <w:sz w:val="24"/>
          <w:szCs w:val="24"/>
          <w:rtl w:val="0"/>
        </w:rPr>
        <w:t xml:space="preserve"> expression, was validated using quantitative RT-PCR in independent cohorts from South Africa, Ethiopia, The Gambia, and Brazil (RePORT-Brazil).</w:t>
      </w:r>
    </w:p>
    <w:p w:rsidR="00000000" w:rsidDel="00000000" w:rsidP="00000000" w:rsidRDefault="00000000" w:rsidRPr="00000000" w14:paraId="00000008">
      <w:pPr>
        <w:numPr>
          <w:ilvl w:val="0"/>
          <w:numId w:val="1"/>
        </w:numPr>
        <w:spacing w:after="0" w:afterAutospacing="0" w:line="276"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Results: The SM2 signature significantly discriminated between progressors and non-progressors up to two years before TB diagnosis. In the validation cohorts, its prognostic performance (AUC 0.70 within 12 months of diagnosis) was equivalent to more complex signatures like the ACS 16-gene signature. In the Brazilian cohort, the signature also showed high accuracy in identifying active TB cases compared to healthy contacts.</w:t>
      </w:r>
    </w:p>
    <w:p w:rsidR="00000000" w:rsidDel="00000000" w:rsidP="00000000" w:rsidRDefault="00000000" w:rsidRPr="00000000" w14:paraId="00000009">
      <w:pPr>
        <w:numPr>
          <w:ilvl w:val="0"/>
          <w:numId w:val="1"/>
        </w:numPr>
        <w:spacing w:after="240" w:line="276"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Conclusion: The SM2 signature provides a robust and simplified approach for predicting TB progression. Due to its parsimonious nature (requiring only two genes), it is an ideal candidate for further development into inexpensive, PCR-based point-of-care tests in high-burden countries.</w:t>
      </w:r>
    </w:p>
    <w:p w:rsidR="00000000" w:rsidDel="00000000" w:rsidP="00000000" w:rsidRDefault="00000000" w:rsidRPr="00000000" w14:paraId="0000000A">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Keywords: Tuberculosis; Latent infection; Biomarkers; Transcriptome; Prognosis; PCR.</w:t>
      </w:r>
    </w:p>
    <w:p w:rsidR="00000000" w:rsidDel="00000000" w:rsidP="00000000" w:rsidRDefault="00000000" w:rsidRPr="00000000" w14:paraId="0000000B">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Arial" w:cs="Arial" w:eastAsia="Arial" w:hAnsi="Arial"/>
          <w:b w:val="1"/>
          <w:bCs w:val="1"/>
          <w:color w:val="0b5394"/>
          <w:sz w:val="32"/>
          <w:szCs w:val="32"/>
        </w:rPr>
      </w:pPr>
      <w:r w:rsidDel="00000000" w:rsidR="00000000" w:rsidRPr="00000000">
        <w:rPr>
          <w:rFonts w:ascii="Arial" w:cs="Arial" w:eastAsia="Arial" w:hAnsi="Arial"/>
          <w:b w:val="1"/>
          <w:bCs w:val="1"/>
          <w:color w:val="0b5394"/>
          <w:sz w:val="32"/>
          <w:szCs w:val="32"/>
          <w:rtl w:val="0"/>
        </w:rPr>
        <w:t xml:space="preserve">Uma assinatura parcimoniosa de 2 genes no sangue do hospedeiro prediz a tuberculose incidente</w:t>
      </w:r>
    </w:p>
    <w:p w:rsidR="00000000" w:rsidDel="00000000" w:rsidP="00000000" w:rsidRDefault="00000000" w:rsidRPr="00000000" w14:paraId="0000000E">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F">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Contexto:</w:t>
      </w:r>
    </w:p>
    <w:p w:rsidR="00000000" w:rsidDel="00000000" w:rsidP="00000000" w:rsidRDefault="00000000" w:rsidRPr="00000000" w14:paraId="00000010">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A estratégia "End TB" da Organização Mundial da Saúde exige novas ferramentas para identificar indivíduos com alto risco de progressão da infecção por </w:t>
      </w:r>
      <w:r w:rsidDel="00000000" w:rsidR="00000000" w:rsidRPr="00000000">
        <w:rPr>
          <w:rFonts w:ascii="Arial" w:cs="Arial" w:eastAsia="Arial" w:hAnsi="Arial"/>
          <w:b w:val="1"/>
          <w:bCs w:val="1"/>
          <w:i w:val="1"/>
          <w:iCs w:val="1"/>
          <w:color w:val="0b5394"/>
          <w:sz w:val="24"/>
          <w:szCs w:val="24"/>
          <w:rtl w:val="0"/>
        </w:rPr>
        <w:t xml:space="preserve">Mycobacterium tuberculosis</w:t>
      </w:r>
      <w:r w:rsidDel="00000000" w:rsidR="00000000" w:rsidRPr="00000000">
        <w:rPr>
          <w:rFonts w:ascii="Arial" w:cs="Arial" w:eastAsia="Arial" w:hAnsi="Arial"/>
          <w:b w:val="1"/>
          <w:bCs w:val="1"/>
          <w:color w:val="0b5394"/>
          <w:sz w:val="24"/>
          <w:szCs w:val="24"/>
          <w:rtl w:val="0"/>
        </w:rPr>
        <w:t xml:space="preserve"> para a doença ativa. Embora várias assinaturas transcriptômicas do hospedeiro tenham sido desenvolvidas, o grande número de genes envolvidos dificulta sua implementação em cenários com recursos limitados. Há uma necessidade urgente de biomarcadores mais simples e parcimoniosos que possam ser facilmente transladados para plataformas de diagnóstico no ponto de cuidado.</w:t>
      </w:r>
    </w:p>
    <w:p w:rsidR="00000000" w:rsidDel="00000000" w:rsidP="00000000" w:rsidRDefault="00000000" w:rsidRPr="00000000" w14:paraId="00000011">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Resumo:</w:t>
      </w:r>
    </w:p>
    <w:p w:rsidR="00000000" w:rsidDel="00000000" w:rsidP="00000000" w:rsidRDefault="00000000" w:rsidRPr="00000000" w14:paraId="00000012">
      <w:pPr>
        <w:numPr>
          <w:ilvl w:val="0"/>
          <w:numId w:val="2"/>
        </w:numPr>
        <w:spacing w:after="0" w:afterAutospacing="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Métodos: Desenvolvemos uma assinatura transcriptômica de 2 genes (Silveira-Mattos-2 ou SM2) utilizando dados de sequenciamento de RNA de uma coorte de adolescentes sul-africanos. A assinatura, que consiste na razão da expressão de </w:t>
      </w:r>
      <w:r w:rsidDel="00000000" w:rsidR="00000000" w:rsidRPr="00000000">
        <w:rPr>
          <w:rFonts w:ascii="Arial" w:cs="Arial" w:eastAsia="Arial" w:hAnsi="Arial"/>
          <w:b w:val="1"/>
          <w:bCs w:val="1"/>
          <w:i w:val="1"/>
          <w:iCs w:val="1"/>
          <w:color w:val="0b5394"/>
          <w:sz w:val="24"/>
          <w:szCs w:val="24"/>
          <w:rtl w:val="0"/>
        </w:rPr>
        <w:t xml:space="preserve">GBP5</w:t>
      </w:r>
      <w:r w:rsidDel="00000000" w:rsidR="00000000" w:rsidRPr="00000000">
        <w:rPr>
          <w:rFonts w:ascii="Arial" w:cs="Arial" w:eastAsia="Arial" w:hAnsi="Arial"/>
          <w:b w:val="1"/>
          <w:bCs w:val="1"/>
          <w:color w:val="0b5394"/>
          <w:sz w:val="24"/>
          <w:szCs w:val="24"/>
          <w:rtl w:val="0"/>
        </w:rPr>
        <w:t xml:space="preserve"> e </w:t>
      </w:r>
      <w:r w:rsidDel="00000000" w:rsidR="00000000" w:rsidRPr="00000000">
        <w:rPr>
          <w:rFonts w:ascii="Arial" w:cs="Arial" w:eastAsia="Arial" w:hAnsi="Arial"/>
          <w:b w:val="1"/>
          <w:bCs w:val="1"/>
          <w:i w:val="1"/>
          <w:iCs w:val="1"/>
          <w:color w:val="0b5394"/>
          <w:sz w:val="24"/>
          <w:szCs w:val="24"/>
          <w:rtl w:val="0"/>
        </w:rPr>
        <w:t xml:space="preserve">KIF1B</w:t>
      </w:r>
      <w:r w:rsidDel="00000000" w:rsidR="00000000" w:rsidRPr="00000000">
        <w:rPr>
          <w:rFonts w:ascii="Arial" w:cs="Arial" w:eastAsia="Arial" w:hAnsi="Arial"/>
          <w:b w:val="1"/>
          <w:bCs w:val="1"/>
          <w:color w:val="0b5394"/>
          <w:sz w:val="24"/>
          <w:szCs w:val="24"/>
          <w:rtl w:val="0"/>
        </w:rPr>
        <w:t xml:space="preserve">, foi validada por RT-PCR quantitativo em coortes independentes da África do Sul, Etiópia, Gâmbia e Brasil (RePORT-Brasil).</w:t>
      </w:r>
    </w:p>
    <w:p w:rsidR="00000000" w:rsidDel="00000000" w:rsidP="00000000" w:rsidRDefault="00000000" w:rsidRPr="00000000" w14:paraId="00000013">
      <w:pPr>
        <w:numPr>
          <w:ilvl w:val="0"/>
          <w:numId w:val="2"/>
        </w:numPr>
        <w:spacing w:after="0" w:afterAutospacing="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Resultados: A assinatura SM2 discriminou significativamente entre progressores e não progressores até dois anos antes do diagnóstico de TB. Nas coortes de validação, seu desempenho prognóstico (AUC 0,70 dentro de 12 meses do diagnóstico) foi equivalente a assinaturas mais complexas, como a assinatura ACS de 16 genes. Na coorte brasileira, a assinatura também mostrou alta precisão na identificação de casos de TB ativa em comparação com contatos saudáveis.</w:t>
      </w:r>
    </w:p>
    <w:p w:rsidR="00000000" w:rsidDel="00000000" w:rsidP="00000000" w:rsidRDefault="00000000" w:rsidRPr="00000000" w14:paraId="00000014">
      <w:pPr>
        <w:numPr>
          <w:ilvl w:val="0"/>
          <w:numId w:val="2"/>
        </w:numPr>
        <w:spacing w:after="24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Conclusão: A assinatura SM2 oferece uma abordagem robusta e simplificada para prever a progressão da TB. Devido à sua natureza parcimoniosa (exigindo apenas dois genes), é uma candidata ideal para o desenvolvimento de testes de ponto de cuidado baseados em PCR de baixo custo em países de alta carga.</w:t>
      </w:r>
    </w:p>
    <w:p w:rsidR="00000000" w:rsidDel="00000000" w:rsidP="00000000" w:rsidRDefault="00000000" w:rsidRPr="00000000" w14:paraId="00000015">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Palavras-chave: Tuberculose; Infecção latente; Biomarcadores; Transcriptoma; Prognóstico; PCR.</w:t>
      </w:r>
    </w:p>
    <w:p w:rsidR="00000000" w:rsidDel="00000000" w:rsidP="00000000" w:rsidRDefault="00000000" w:rsidRPr="00000000" w14:paraId="00000016">
      <w:pPr>
        <w:spacing w:after="240" w:line="276" w:lineRule="auto"/>
        <w:rPr>
          <w:rFonts w:ascii="Arial" w:cs="Arial" w:eastAsia="Arial" w:hAnsi="Arial"/>
          <w:b w:val="1"/>
          <w:bCs w:val="1"/>
          <w:color w:val="0b5394"/>
          <w:sz w:val="24"/>
          <w:szCs w:val="2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q8/g47KAo2Bc4xqTq3qDt0Pw==">CgMxLjA4AHIhMWY3LVBkX1Z0Z0xNZ0VELW5YV0dKTTJhRjctT21scjlJ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