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2019</w:t>
      </w:r>
    </w:p>
    <w:p w:rsidR="00000000" w:rsidDel="00000000" w:rsidP="00000000" w:rsidRDefault="00000000" w:rsidRPr="00000000" w14:paraId="00000002">
      <w:pPr>
        <w:spacing w:after="240" w:line="276" w:lineRule="auto"/>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Lack of weight gain during the first two months of treatment and HIV independently predict unsuccessful treatment outcomes in tuberculosis</w:t>
      </w:r>
    </w:p>
    <w:p w:rsidR="00000000" w:rsidDel="00000000" w:rsidP="00000000" w:rsidRDefault="00000000" w:rsidRPr="00000000" w14:paraId="00000003">
      <w:pPr>
        <w:spacing w:after="240" w:line="276"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4">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Background:</w:t>
      </w:r>
    </w:p>
    <w:p w:rsidR="00000000" w:rsidDel="00000000" w:rsidP="00000000" w:rsidRDefault="00000000" w:rsidRPr="00000000" w14:paraId="00000005">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Tuberculosis (TB) is frequently associated with malnutrition and wasting, a relationship further complicated by HIV infection. While weight change during treatment can inform the host's response to therapy, its predictive value for overall treatment success remains unclear when potentially confounded by HIV status. Understanding how these factors interact is critical for identifying patients at high risk for unsuccessful outcomes.</w:t>
      </w:r>
    </w:p>
    <w:p w:rsidR="00000000" w:rsidDel="00000000" w:rsidP="00000000" w:rsidRDefault="00000000" w:rsidRPr="00000000" w14:paraId="00000006">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Abstract:</w:t>
      </w:r>
    </w:p>
    <w:p w:rsidR="00000000" w:rsidDel="00000000" w:rsidP="00000000" w:rsidRDefault="00000000" w:rsidRPr="00000000" w14:paraId="00000007">
      <w:pPr>
        <w:numPr>
          <w:ilvl w:val="0"/>
          <w:numId w:val="2"/>
        </w:numPr>
        <w:spacing w:after="0" w:afterAutospacing="0" w:line="276"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Methods: This prospective cohort study followed 547 adults with culture-confirmed, drug-susceptible pulmonary TB in Brazil. Median weight change was examined two months after treatment initiation by HIV status, and unsuccessful outcomes (failure, recurrence, or death) were evaluated using Cox and mediation analyses.</w:t>
      </w:r>
    </w:p>
    <w:p w:rsidR="00000000" w:rsidDel="00000000" w:rsidP="00000000" w:rsidRDefault="00000000" w:rsidRPr="00000000" w14:paraId="00000008">
      <w:pPr>
        <w:numPr>
          <w:ilvl w:val="0"/>
          <w:numId w:val="2"/>
        </w:numPr>
        <w:spacing w:after="0" w:afterAutospacing="0" w:line="276"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Results: Overall, 19% of participants were HIV-positive, and 6% experienced an unsuccessful treatment outcome. After adjusting for confounders, persons living with HIV (PLWH) gained a median of 1.3 kg less than HIV-negative individuals during the first two months. PLWH were significantly more likely to have an unsuccessful outcome (aHR = 4.8). Each 1 kg increase in weight during the first two months was associated with a 12% decrease in the risk of failure, recurrence, or death.</w:t>
      </w:r>
    </w:p>
    <w:p w:rsidR="00000000" w:rsidDel="00000000" w:rsidP="00000000" w:rsidRDefault="00000000" w:rsidRPr="00000000" w14:paraId="00000009">
      <w:pPr>
        <w:numPr>
          <w:ilvl w:val="0"/>
          <w:numId w:val="2"/>
        </w:numPr>
        <w:spacing w:after="240" w:line="276"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Conclusion: HIV infection and a lack of early weight gain are independent and powerful predictors of poor TB treatment outcomes. Weight monitoring serves as a simple, low-cost biomarker to identify patients who may require alternative or intensified treatment strategies.</w:t>
      </w:r>
    </w:p>
    <w:p w:rsidR="00000000" w:rsidDel="00000000" w:rsidP="00000000" w:rsidRDefault="00000000" w:rsidRPr="00000000" w14:paraId="0000000A">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Keywords: Tuberculosis, HIV, body weight changes, treatment outcome, observational study.</w:t>
      </w:r>
    </w:p>
    <w:p w:rsidR="00000000" w:rsidDel="00000000" w:rsidP="00000000" w:rsidRDefault="00000000" w:rsidRPr="00000000" w14:paraId="0000000B">
      <w:pPr>
        <w:spacing w:after="240" w:before="24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C">
      <w:pPr>
        <w:spacing w:after="240" w:before="24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D">
      <w:pPr>
        <w:spacing w:after="240" w:before="240" w:lineRule="auto"/>
        <w:rPr>
          <w:rFonts w:ascii="Arial" w:cs="Arial" w:eastAsia="Arial" w:hAnsi="Arial"/>
          <w:b w:val="1"/>
          <w:bCs w:val="1"/>
          <w:color w:val="0b5394"/>
          <w:sz w:val="30"/>
          <w:szCs w:val="30"/>
        </w:rPr>
      </w:pPr>
      <w:r w:rsidDel="00000000" w:rsidR="00000000" w:rsidRPr="00000000">
        <w:rPr>
          <w:rFonts w:ascii="Arial" w:cs="Arial" w:eastAsia="Arial" w:hAnsi="Arial"/>
          <w:b w:val="1"/>
          <w:bCs w:val="1"/>
          <w:color w:val="0b5394"/>
          <w:sz w:val="30"/>
          <w:szCs w:val="30"/>
          <w:rtl w:val="0"/>
        </w:rPr>
        <w:t xml:space="preserve"> A falta de ganho de peso durante os primeiros dois meses de tratamento e o HIV predizem independentemente desfechos de tratamento malsucedidos na tuberculose</w:t>
      </w:r>
    </w:p>
    <w:p w:rsidR="00000000" w:rsidDel="00000000" w:rsidP="00000000" w:rsidRDefault="00000000" w:rsidRPr="00000000" w14:paraId="0000000E">
      <w:pPr>
        <w:spacing w:after="240" w:before="240" w:lineRule="auto"/>
        <w:rPr>
          <w:rFonts w:ascii="Arial" w:cs="Arial" w:eastAsia="Arial" w:hAnsi="Arial"/>
          <w:b w:val="1"/>
          <w:bCs w:val="1"/>
          <w:color w:val="0b5394"/>
          <w:sz w:val="30"/>
          <w:szCs w:val="30"/>
        </w:rPr>
      </w:pPr>
      <w:r w:rsidDel="00000000" w:rsidR="00000000" w:rsidRPr="00000000">
        <w:rPr>
          <w:rtl w:val="0"/>
        </w:rPr>
      </w:r>
    </w:p>
    <w:p w:rsidR="00000000" w:rsidDel="00000000" w:rsidP="00000000" w:rsidRDefault="00000000" w:rsidRPr="00000000" w14:paraId="0000000F">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Contexto:</w:t>
      </w:r>
    </w:p>
    <w:p w:rsidR="00000000" w:rsidDel="00000000" w:rsidP="00000000" w:rsidRDefault="00000000" w:rsidRPr="00000000" w14:paraId="00000010">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A tuberculose (TB) está frequentemente associada à desnutrição e à perda de peso progressiva, uma relação que é ainda mais complicada pela infeção por HIV. Embora a mudança de peso durante o tratamento possa informar a resposta do hospedeiro à terapia, o seu valor preditivo para o sucesso global do tratamento permanece incerto quando potencialmente influenciado pelo status de HIV. Compreender como esses fatores interagem é fundamental para identificar pacientes com alto risco de desfechos desfavoráveis.</w:t>
      </w:r>
    </w:p>
    <w:p w:rsidR="00000000" w:rsidDel="00000000" w:rsidP="00000000" w:rsidRDefault="00000000" w:rsidRPr="00000000" w14:paraId="00000011">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Resumo:</w:t>
      </w:r>
    </w:p>
    <w:p w:rsidR="00000000" w:rsidDel="00000000" w:rsidP="00000000" w:rsidRDefault="00000000" w:rsidRPr="00000000" w14:paraId="00000012">
      <w:pPr>
        <w:numPr>
          <w:ilvl w:val="0"/>
          <w:numId w:val="1"/>
        </w:numPr>
        <w:spacing w:after="0" w:afterAutospacing="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Métodos: Este estudo de coorte prospetivo acompanhou 547 adultos com TB pulmonar confirmada por cultura e sensível a fármacos no Brasil. A variação mediana do peso foi examinada dois meses após o início do tratamento de acordo com o status de HIV, e os desfechos malsucedidos (falha, recorrência ou óbito) foram avaliados através de análises de Cox e de mediação.</w:t>
      </w:r>
    </w:p>
    <w:p w:rsidR="00000000" w:rsidDel="00000000" w:rsidP="00000000" w:rsidRDefault="00000000" w:rsidRPr="00000000" w14:paraId="00000013">
      <w:pPr>
        <w:numPr>
          <w:ilvl w:val="0"/>
          <w:numId w:val="1"/>
        </w:numPr>
        <w:spacing w:after="0" w:afterAutospacing="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Resultados: No total, 19% dos participantes eram HIV-positivos e 6% apresentaram um desfecho de tratamento malsucedido. Após o ajuste para fatores de confusão, as pessoas que vivem com HIV (PVHIV) ganharam uma mediana de 1,3 kg a menos do que os indivíduos HIV-negativos durante os primeiros dois meses. As PVHIV apresentaram um risco aumentado de desfecho malsucedido (HR ajustado = 4,8). Cada aumento de 1 kg no peso durante os dois primeiros meses foi associado a uma redução de 12% no risco de falha, recorrência ou óbito.</w:t>
      </w:r>
    </w:p>
    <w:p w:rsidR="00000000" w:rsidDel="00000000" w:rsidP="00000000" w:rsidRDefault="00000000" w:rsidRPr="00000000" w14:paraId="00000014">
      <w:pPr>
        <w:numPr>
          <w:ilvl w:val="0"/>
          <w:numId w:val="1"/>
        </w:numPr>
        <w:spacing w:after="24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Conclusão: A infeção por HIV e a ausência de ganho de peso precoce são preditores independentes e poderosos de desfechos desfavoráveis no tratamento da TB. A monitorização do peso serve como um biomarcador simples e de baixo custo para identificar pacientes que podem beneficiar de estratégias de tratamento alternativas ou intensificadas.</w:t>
      </w:r>
    </w:p>
    <w:p w:rsidR="00000000" w:rsidDel="00000000" w:rsidP="00000000" w:rsidRDefault="00000000" w:rsidRPr="00000000" w14:paraId="00000015">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Palavras-chave: Tuberculose, HIV, alterações no peso corporal, resultado do tratamento, estudo observacional.</w:t>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dlPDsG78JTjTEtfLeDQbHU8cvQ==">CgMxLjA4AHIhMVllZ0FyRlMxLUtCUG9wWF9WOW5ITC1aWU9nOTFnc2J4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