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2019</w:t>
      </w:r>
    </w:p>
    <w:p w:rsidR="00000000" w:rsidDel="00000000" w:rsidP="00000000" w:rsidRDefault="00000000" w:rsidRPr="00000000" w14:paraId="00000002">
      <w:pPr>
        <w:spacing w:after="240" w:line="276"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Hydroxyurea alters circulating monocyte subsets and dampens its inflammatory potential in sickle cell anemia patients</w:t>
      </w:r>
    </w:p>
    <w:p w:rsidR="00000000" w:rsidDel="00000000" w:rsidP="00000000" w:rsidRDefault="00000000" w:rsidRPr="00000000" w14:paraId="00000003">
      <w:pPr>
        <w:spacing w:after="240" w:line="276"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4">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Background:</w:t>
      </w:r>
    </w:p>
    <w:p w:rsidR="00000000" w:rsidDel="00000000" w:rsidP="00000000" w:rsidRDefault="00000000" w:rsidRPr="00000000" w14:paraId="00000005">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Sickle cell anemia (SCA) is a hemolytic disease where vaso-occlusive events (VOE) serve as a primary pathophysiological mechanism. Treatment is standardly based on hydroxyurea (HU), which increases fetal hemoglobin synthesis and reduces leukocyte counts. While monocytes are known to contribute to vascular dysfunction and coagulation through tissue factor (TF) expression, the specific impact of HU on distinct monocyte subsets and their inflammatory potential remains unclear.</w:t>
      </w:r>
    </w:p>
    <w:p w:rsidR="00000000" w:rsidDel="00000000" w:rsidP="00000000" w:rsidRDefault="00000000" w:rsidRPr="00000000" w14:paraId="00000006">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Abstract:</w:t>
      </w:r>
    </w:p>
    <w:p w:rsidR="00000000" w:rsidDel="00000000" w:rsidP="00000000" w:rsidRDefault="00000000" w:rsidRPr="00000000" w14:paraId="00000007">
      <w:pPr>
        <w:numPr>
          <w:ilvl w:val="0"/>
          <w:numId w:val="1"/>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Methods: This study investigated monocyte subset frequencies and their response to HU therapy in 37 pediatric SCA patients (17 taking HU, 20 not taking HU). Monocyte phenotypes—classical ($CD14^{++}CD16^{-}$), intermediate ($CD14^{+}CD16^{+}$), and patrolling ($CD14^{dim}CD16^{+}$)—were analyzed via flow cytometry. The cells' ability to produce TF and pro-inflammatory cytokines (TNF-$\alpha$, IL-1$\beta$, IL-6, IL-8) upon LPS stimulation was also tested.</w:t>
      </w:r>
    </w:p>
    <w:p w:rsidR="00000000" w:rsidDel="00000000" w:rsidP="00000000" w:rsidRDefault="00000000" w:rsidRPr="00000000" w14:paraId="00000008">
      <w:pPr>
        <w:numPr>
          <w:ilvl w:val="0"/>
          <w:numId w:val="1"/>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Results: Patients not undergoing HU therapy showed higher frequencies of classical monocytes. HU treatment was associated with a shift toward the patrolling phenotype and a significant reduction in the production of TF and cytokines (TNF-$\alpha$, IL-1$\beta$, and IL-6) by LPS-activated monocytes. Furthermore, HU therapy dramatically dampened the polyfunctional capacity of monocytes to produce multiple cytokines simultaneously. High frequencies of TF-expressing monocytes were specifically associated with a previous history of VOE.</w:t>
      </w:r>
    </w:p>
    <w:p w:rsidR="00000000" w:rsidDel="00000000" w:rsidP="00000000" w:rsidRDefault="00000000" w:rsidRPr="00000000" w14:paraId="00000009">
      <w:pPr>
        <w:numPr>
          <w:ilvl w:val="0"/>
          <w:numId w:val="1"/>
        </w:numPr>
        <w:spacing w:after="240" w:line="276" w:lineRule="auto"/>
        <w:ind w:left="720" w:hanging="360"/>
        <w:rPr>
          <w:b w:val="1"/>
          <w:bCs w:val="1"/>
        </w:rPr>
      </w:pPr>
      <w:r w:rsidDel="00000000" w:rsidR="00000000" w:rsidRPr="00000000">
        <w:rPr>
          <w:rFonts w:ascii="Arial" w:cs="Arial" w:eastAsia="Arial" w:hAnsi="Arial"/>
          <w:b w:val="1"/>
          <w:bCs w:val="1"/>
          <w:rtl w:val="0"/>
        </w:rPr>
        <w:t xml:space="preserve">Conclusion: Hydroxyurea alters the distribution of monocyte subsets and reduces their inflammatory and pro-coagulant potential. Classical monocytes appear to be the primary drivers of the cytokine storm and vaso-occlusion in SCA, and HU effectively dampens this activity.</w:t>
      </w:r>
    </w:p>
    <w:p w:rsidR="00000000" w:rsidDel="00000000" w:rsidP="00000000" w:rsidRDefault="00000000" w:rsidRPr="00000000" w14:paraId="0000000A">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Keywords: sickle cell disease; hydroxyurea; monocyte subsets; tissue factor; inflammation; vaso-occlusive events.</w:t>
      </w:r>
    </w:p>
    <w:p w:rsidR="00000000" w:rsidDel="00000000" w:rsidP="00000000" w:rsidRDefault="00000000" w:rsidRPr="00000000" w14:paraId="0000000B">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D">
      <w:pPr>
        <w:spacing w:after="240" w:line="276" w:lineRule="auto"/>
        <w:rPr>
          <w:rFonts w:ascii="Arial" w:cs="Arial" w:eastAsia="Arial" w:hAnsi="Arial"/>
          <w:b w:val="1"/>
          <w:bCs w:val="1"/>
          <w:color w:val="0b5394"/>
          <w:sz w:val="28"/>
          <w:szCs w:val="28"/>
        </w:rPr>
      </w:pPr>
      <w:r w:rsidDel="00000000" w:rsidR="00000000" w:rsidRPr="00000000">
        <w:rPr>
          <w:rFonts w:ascii="Arial" w:cs="Arial" w:eastAsia="Arial" w:hAnsi="Arial"/>
          <w:b w:val="1"/>
          <w:bCs w:val="1"/>
          <w:color w:val="0b5394"/>
          <w:sz w:val="28"/>
          <w:szCs w:val="28"/>
          <w:rtl w:val="0"/>
        </w:rPr>
        <w:t xml:space="preserve">A hidroxiureia altera os subconjuntos de monócitos circulantes e atenua seu potencial inflamatório em pacientes com anemia falciforme</w:t>
      </w:r>
    </w:p>
    <w:p w:rsidR="00000000" w:rsidDel="00000000" w:rsidP="00000000" w:rsidRDefault="00000000" w:rsidRPr="00000000" w14:paraId="0000000E">
      <w:pPr>
        <w:spacing w:after="240" w:line="276" w:lineRule="auto"/>
        <w:rPr>
          <w:rFonts w:ascii="Arial" w:cs="Arial" w:eastAsia="Arial" w:hAnsi="Arial"/>
          <w:b w:val="1"/>
          <w:bCs w:val="1"/>
          <w:color w:val="0b5394"/>
          <w:sz w:val="28"/>
          <w:szCs w:val="28"/>
        </w:rPr>
      </w:pPr>
      <w:r w:rsidDel="00000000" w:rsidR="00000000" w:rsidRPr="00000000">
        <w:rPr>
          <w:rtl w:val="0"/>
        </w:rPr>
      </w:r>
    </w:p>
    <w:p w:rsidR="00000000" w:rsidDel="00000000" w:rsidP="00000000" w:rsidRDefault="00000000" w:rsidRPr="00000000" w14:paraId="0000000F">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Contexto:</w:t>
      </w:r>
    </w:p>
    <w:p w:rsidR="00000000" w:rsidDel="00000000" w:rsidP="00000000" w:rsidRDefault="00000000" w:rsidRPr="00000000" w14:paraId="00000010">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A anemia falciforme (AF) é uma doença hemolítica na qual os eventos vaso-oclusivos (EVO) constituem o principal mecanismo fisiopatológico. O tratamento é baseado na hidroxiureia (HU), que aumenta a síntese de hemoglobina fetal e reduz a contagem de leucócitos. Embora se saiba que os monócitos contribuem para a disfunção vascular e coagulação através da expressão do fator tecidual (FT), o impacto específico da HU nos diferentes subconjuntos de monócitos e seu potencial inflamatório permanece pouco compreendido.</w:t>
      </w:r>
    </w:p>
    <w:p w:rsidR="00000000" w:rsidDel="00000000" w:rsidP="00000000" w:rsidRDefault="00000000" w:rsidRPr="00000000" w14:paraId="00000011">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Resumo:</w:t>
      </w:r>
    </w:p>
    <w:p w:rsidR="00000000" w:rsidDel="00000000" w:rsidP="00000000" w:rsidRDefault="00000000" w:rsidRPr="00000000" w14:paraId="00000012">
      <w:pPr>
        <w:numPr>
          <w:ilvl w:val="0"/>
          <w:numId w:val="2"/>
        </w:numPr>
        <w:spacing w:after="0" w:afterAutospacing="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Métodos: Este estudo investigou as frequências dos subconjuntos de monócitos e sua resposta à terapia com HU em 37 pacientes pediátricos com AF (17 em uso de HU, 20 sem uso). Os fenótipos de monócitos — clássicos ($CD14^{++}CD16^{-}$), intermediários ($CD14^{+}CD16^{+}$) e de patrulhamento ($CD14^{dim}CD16^{+}$) — foram analisados por citometria de fluxo. Também foi testada a capacidade das células de produzir FT e citocinas pró-inflamatórias (TNF-$\alpha$, IL-1$\beta$, IL-6, IL-8) após estimulação com LPS.</w:t>
      </w:r>
    </w:p>
    <w:p w:rsidR="00000000" w:rsidDel="00000000" w:rsidP="00000000" w:rsidRDefault="00000000" w:rsidRPr="00000000" w14:paraId="00000013">
      <w:pPr>
        <w:numPr>
          <w:ilvl w:val="0"/>
          <w:numId w:val="2"/>
        </w:numPr>
        <w:spacing w:after="0" w:afterAutospacing="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Resultados: Pacientes que não realizavam terapia com HU apresentaram frequências mais elevadas de monócitos clássicos. O tratamento com HU foi associado a uma mudança para o fenótipo de patrulhamento e a uma redução significativa na produção de FT e citocinas (TNF-$\alpha$, IL-1$\beta$ e IL-6) por monócitos ativados por LPS. Além disso, a terapia com HU atenuou drasticamente a capacidade polifuncional dos monócitos de produzir múltiplas citocinas simultaneamente. Altas frequências de monócitos que expressam FT foram especificamente associadas a um histórico prévio de EVO.</w:t>
      </w:r>
    </w:p>
    <w:p w:rsidR="00000000" w:rsidDel="00000000" w:rsidP="00000000" w:rsidRDefault="00000000" w:rsidRPr="00000000" w14:paraId="00000014">
      <w:pPr>
        <w:numPr>
          <w:ilvl w:val="0"/>
          <w:numId w:val="2"/>
        </w:numPr>
        <w:spacing w:after="24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Conclusão: A hidroxiureia altera a distribuição dos subconjuntos de monócitos e reduz seu potencial inflamatório e pró-coagulante. Os monócitos clássicos parecem ser os principais impulsionadores da tempestade de citocinas e da vaso-oclusão na AF, e a HU atenua efetivamente essa atividade.</w:t>
      </w:r>
    </w:p>
    <w:p w:rsidR="00000000" w:rsidDel="00000000" w:rsidP="00000000" w:rsidRDefault="00000000" w:rsidRPr="00000000" w14:paraId="00000015">
      <w:pPr>
        <w:spacing w:after="240" w:line="276" w:lineRule="auto"/>
        <w:ind w:left="720" w:firstLine="0"/>
        <w:rPr>
          <w:rFonts w:ascii="Arial" w:cs="Arial" w:eastAsia="Arial" w:hAnsi="Arial"/>
          <w:b w:val="1"/>
          <w:bCs w:val="1"/>
          <w:color w:val="0b5394"/>
        </w:rPr>
      </w:pPr>
      <w:r w:rsidDel="00000000" w:rsidR="00000000" w:rsidRPr="00000000">
        <w:rPr>
          <w:rtl w:val="0"/>
        </w:rPr>
      </w:r>
    </w:p>
    <w:p w:rsidR="00000000" w:rsidDel="00000000" w:rsidP="00000000" w:rsidRDefault="00000000" w:rsidRPr="00000000" w14:paraId="00000016">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Palavras-chave: doença falciforme; hidroxiureia; subconjuntos de monócitos; fator tecidual; inflamação; eventos vaso-oclusivos.</w:t>
      </w:r>
    </w:p>
    <w:p w:rsidR="00000000" w:rsidDel="00000000" w:rsidP="00000000" w:rsidRDefault="00000000" w:rsidRPr="00000000" w14:paraId="00000017">
      <w:pPr>
        <w:spacing w:after="240" w:line="276" w:lineRule="auto"/>
        <w:rPr>
          <w:rFonts w:ascii="Arial" w:cs="Arial" w:eastAsia="Arial" w:hAnsi="Arial"/>
          <w:b w:val="1"/>
          <w:bCs w:val="1"/>
          <w:color w:val="0b5394"/>
          <w:sz w:val="24"/>
          <w:szCs w:val="2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Nr24lonuJeJVkdKk7+ghzvKr/g==">CgMxLjA4AHIhMXpQd1czU05uci0tcWlyc2hTUDlPMHJrcHhEcHBLSDJP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