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2019</w:t>
      </w:r>
    </w:p>
    <w:p w:rsidR="00000000" w:rsidDel="00000000" w:rsidP="00000000" w:rsidRDefault="00000000" w:rsidRPr="00000000" w14:paraId="00000002">
      <w:pPr>
        <w:spacing w:after="240" w:line="276" w:lineRule="auto"/>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High prevalence and heterogeneity of Dysglycemia in patients with tuberculosis from Peru: a prospective cohort study</w:t>
      </w:r>
    </w:p>
    <w:p w:rsidR="00000000" w:rsidDel="00000000" w:rsidP="00000000" w:rsidRDefault="00000000" w:rsidRPr="00000000" w14:paraId="00000003">
      <w:pPr>
        <w:spacing w:after="240" w:line="276"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4">
      <w:pPr>
        <w:spacing w:after="24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Background:</w:t>
      </w:r>
    </w:p>
    <w:p w:rsidR="00000000" w:rsidDel="00000000" w:rsidP="00000000" w:rsidRDefault="00000000" w:rsidRPr="00000000" w14:paraId="00000005">
      <w:pPr>
        <w:spacing w:after="24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Diabetes mellitus (DM) triples the risk of developing active tuberculosis (TB), and prediabetes (preDM) has also emerged as a relevant risk factor. Despite international and national recommendations for screening, many individuals remain unaware of their glycemic status. The accuracy of different laboratory tests in TB-affected populations is poorly understood, often leading to under-notification of the comorbid TB-DM burden.</w:t>
      </w:r>
    </w:p>
    <w:p w:rsidR="00000000" w:rsidDel="00000000" w:rsidP="00000000" w:rsidRDefault="00000000" w:rsidRPr="00000000" w14:paraId="00000006">
      <w:pPr>
        <w:spacing w:after="24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Abstract:</w:t>
      </w:r>
    </w:p>
    <w:p w:rsidR="00000000" w:rsidDel="00000000" w:rsidP="00000000" w:rsidRDefault="00000000" w:rsidRPr="00000000" w14:paraId="00000007">
      <w:pPr>
        <w:numPr>
          <w:ilvl w:val="0"/>
          <w:numId w:val="2"/>
        </w:numPr>
        <w:spacing w:after="0" w:afterAutospacing="0" w:line="276" w:lineRule="auto"/>
        <w:ind w:left="720" w:hanging="360"/>
        <w:rPr>
          <w:b w:val="1"/>
          <w:bCs w:val="1"/>
          <w:sz w:val="24"/>
          <w:szCs w:val="24"/>
        </w:rPr>
      </w:pPr>
      <w:r w:rsidDel="00000000" w:rsidR="00000000" w:rsidRPr="00000000">
        <w:rPr>
          <w:rFonts w:ascii="Arial" w:cs="Arial" w:eastAsia="Arial" w:hAnsi="Arial"/>
          <w:b w:val="1"/>
          <w:bCs w:val="1"/>
          <w:sz w:val="24"/>
          <w:szCs w:val="24"/>
          <w:rtl w:val="0"/>
        </w:rPr>
        <w:t xml:space="preserve">Methods: A prospective cohort study was conducted in Lima, Peru, involving 136 TB patients and 138 household contacts (HHC). Fasting plasma glucose (FPG), HbA1c, and oral glucose tolerance tests (OGTT) were used to detect DM and preDM.</w:t>
      </w:r>
    </w:p>
    <w:p w:rsidR="00000000" w:rsidDel="00000000" w:rsidP="00000000" w:rsidRDefault="00000000" w:rsidRPr="00000000" w14:paraId="00000008">
      <w:pPr>
        <w:numPr>
          <w:ilvl w:val="0"/>
          <w:numId w:val="2"/>
        </w:numPr>
        <w:spacing w:after="0" w:afterAutospacing="0" w:line="276" w:lineRule="auto"/>
        <w:ind w:left="720" w:hanging="360"/>
        <w:rPr>
          <w:b w:val="1"/>
          <w:bCs w:val="1"/>
          <w:sz w:val="24"/>
          <w:szCs w:val="24"/>
        </w:rPr>
      </w:pPr>
      <w:r w:rsidDel="00000000" w:rsidR="00000000" w:rsidRPr="00000000">
        <w:rPr>
          <w:rFonts w:ascii="Arial" w:cs="Arial" w:eastAsia="Arial" w:hAnsi="Arial"/>
          <w:b w:val="1"/>
          <w:bCs w:val="1"/>
          <w:sz w:val="24"/>
          <w:szCs w:val="24"/>
          <w:rtl w:val="0"/>
        </w:rPr>
        <w:t xml:space="preserve">Results: Prevalence of DM and preDM in TB patients was 13.97% and 30.88%, respectively, while lower rates were found in contacts (DM: 6.52%; preDM: 28.99%). FPG, HbA1c, and OGTT showed poor agreement in detecting preDM. Notably, TB-DM patients exhibited substantially lower hemoglobin levels, which significantly reduced the accuracy of HbA1c-based diagnosis.</w:t>
      </w:r>
    </w:p>
    <w:p w:rsidR="00000000" w:rsidDel="00000000" w:rsidP="00000000" w:rsidRDefault="00000000" w:rsidRPr="00000000" w14:paraId="00000009">
      <w:pPr>
        <w:numPr>
          <w:ilvl w:val="0"/>
          <w:numId w:val="2"/>
        </w:numPr>
        <w:spacing w:after="240" w:line="276" w:lineRule="auto"/>
        <w:ind w:left="720" w:hanging="360"/>
        <w:rPr>
          <w:b w:val="1"/>
          <w:bCs w:val="1"/>
          <w:sz w:val="24"/>
          <w:szCs w:val="24"/>
        </w:rPr>
      </w:pPr>
      <w:r w:rsidDel="00000000" w:rsidR="00000000" w:rsidRPr="00000000">
        <w:rPr>
          <w:rFonts w:ascii="Arial" w:cs="Arial" w:eastAsia="Arial" w:hAnsi="Arial"/>
          <w:b w:val="1"/>
          <w:bCs w:val="1"/>
          <w:sz w:val="24"/>
          <w:szCs w:val="24"/>
          <w:rtl w:val="0"/>
        </w:rPr>
        <w:t xml:space="preserve">Conclusion: Lima faces a high prevalence of dysglycemia among TB patients and their contacts. Anemia is a critical confounder for HbA1c testing in this population. Routine screening using multiple diagnostic methods (FPG and OGTT in addition to HbA1c) is necessary for early detection and improved clinical outcomes.</w:t>
      </w:r>
    </w:p>
    <w:p w:rsidR="00000000" w:rsidDel="00000000" w:rsidP="00000000" w:rsidRDefault="00000000" w:rsidRPr="00000000" w14:paraId="0000000A">
      <w:pPr>
        <w:spacing w:after="24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Keywords: Diabetes mellitus, Prediabetes, Tuberculosis, Comorbidity, Prevalence.</w:t>
      </w:r>
    </w:p>
    <w:p w:rsidR="00000000" w:rsidDel="00000000" w:rsidP="00000000" w:rsidRDefault="00000000" w:rsidRPr="00000000" w14:paraId="0000000B">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C">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D">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E">
      <w:pPr>
        <w:spacing w:after="240" w:befor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F">
      <w:pPr>
        <w:spacing w:after="240" w:before="240" w:lineRule="auto"/>
        <w:rPr>
          <w:rFonts w:ascii="Arial" w:cs="Arial" w:eastAsia="Arial" w:hAnsi="Arial"/>
          <w:b w:val="1"/>
          <w:bCs w:val="1"/>
          <w:color w:val="0b5394"/>
          <w:sz w:val="28"/>
          <w:szCs w:val="28"/>
        </w:rPr>
      </w:pPr>
      <w:r w:rsidDel="00000000" w:rsidR="00000000" w:rsidRPr="00000000">
        <w:rPr>
          <w:rFonts w:ascii="Arial" w:cs="Arial" w:eastAsia="Arial" w:hAnsi="Arial"/>
          <w:b w:val="1"/>
          <w:bCs w:val="1"/>
          <w:color w:val="0b5394"/>
          <w:sz w:val="28"/>
          <w:szCs w:val="28"/>
          <w:rtl w:val="0"/>
        </w:rPr>
        <w:t xml:space="preserve">Alta prevalência e heterogeneidade de disglicemia em pacientes com tuberculose no Peru: um estudo de coorte prospectivo</w:t>
      </w:r>
    </w:p>
    <w:p w:rsidR="00000000" w:rsidDel="00000000" w:rsidP="00000000" w:rsidRDefault="00000000" w:rsidRPr="00000000" w14:paraId="00000010">
      <w:pPr>
        <w:spacing w:after="240" w:line="27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1">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Contexto:</w:t>
      </w:r>
    </w:p>
    <w:p w:rsidR="00000000" w:rsidDel="00000000" w:rsidP="00000000" w:rsidRDefault="00000000" w:rsidRPr="00000000" w14:paraId="00000012">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O diabetes mellitus (DM) triplica o risco de desenvolvimento de tuberculose (TB) ativa, e o pré-diabetes (pré-DM) também surgiu como um fator de risco relevante. Apesar das recomendações nacionais e internacionais para triagem, muitos indivíduos desconhecem seu status glicêmico. A precisão de diferentes testes laboratoriais em populações afetadas pela TB é pouco compreendida, o que frequentemente leva à subnotificação da carga de comorbidade TB-DM.</w:t>
      </w:r>
    </w:p>
    <w:p w:rsidR="00000000" w:rsidDel="00000000" w:rsidP="00000000" w:rsidRDefault="00000000" w:rsidRPr="00000000" w14:paraId="00000013">
      <w:pPr>
        <w:spacing w:after="240" w:line="276" w:lineRule="auto"/>
        <w:rPr>
          <w:rFonts w:ascii="Arial" w:cs="Arial" w:eastAsia="Arial" w:hAnsi="Arial"/>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Resumo:</w:t>
      </w:r>
    </w:p>
    <w:p w:rsidR="00000000" w:rsidDel="00000000" w:rsidP="00000000" w:rsidRDefault="00000000" w:rsidRPr="00000000" w14:paraId="00000014">
      <w:pPr>
        <w:numPr>
          <w:ilvl w:val="0"/>
          <w:numId w:val="1"/>
        </w:numPr>
        <w:spacing w:after="0" w:afterAutospacing="0" w:line="276" w:lineRule="auto"/>
        <w:ind w:left="720" w:hanging="360"/>
        <w:rPr>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Métodos: Foi realizado um estudo de coorte prospectivo em Lima, Peru, envolvendo 136 pacientes com TB e 138 contatos domiciliares (HHC). Glicose plasmática em jejum (GPJ), HbA1c e teste oral de tolerância à glicose (TOTG) foram utilizados para detectar DM e pré-DM.</w:t>
      </w:r>
    </w:p>
    <w:p w:rsidR="00000000" w:rsidDel="00000000" w:rsidP="00000000" w:rsidRDefault="00000000" w:rsidRPr="00000000" w14:paraId="00000015">
      <w:pPr>
        <w:numPr>
          <w:ilvl w:val="0"/>
          <w:numId w:val="1"/>
        </w:numPr>
        <w:spacing w:after="0" w:afterAutospacing="0" w:line="276" w:lineRule="auto"/>
        <w:ind w:left="720" w:hanging="360"/>
        <w:rPr>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Resultados: A prevalência de DM e pré-DM em pacientes com TB foi de 13,97% e 30,88%, respectivamente, enquanto taxas menores foram encontradas nos contatos (DM: 6,52%; pré-DM: 28,99%). GPJ, HbA1c e TOTG mostraram baixa concordância na detecção de pré-DM. Notavelmente, pacientes com TB-DM exibiram níveis de hemoglobina substancialmente mais baixos, o que reduziu significativamente a precisão do diagnóstico baseado em HbA1c.</w:t>
      </w:r>
    </w:p>
    <w:p w:rsidR="00000000" w:rsidDel="00000000" w:rsidP="00000000" w:rsidRDefault="00000000" w:rsidRPr="00000000" w14:paraId="00000016">
      <w:pPr>
        <w:numPr>
          <w:ilvl w:val="0"/>
          <w:numId w:val="1"/>
        </w:numPr>
        <w:spacing w:after="240" w:line="276" w:lineRule="auto"/>
        <w:ind w:left="720" w:hanging="360"/>
        <w:rPr>
          <w:b w:val="1"/>
          <w:bCs w:val="1"/>
          <w:color w:val="0b5394"/>
          <w:sz w:val="24"/>
          <w:szCs w:val="24"/>
        </w:rPr>
      </w:pPr>
      <w:r w:rsidDel="00000000" w:rsidR="00000000" w:rsidRPr="00000000">
        <w:rPr>
          <w:rFonts w:ascii="Arial" w:cs="Arial" w:eastAsia="Arial" w:hAnsi="Arial"/>
          <w:b w:val="1"/>
          <w:bCs w:val="1"/>
          <w:color w:val="0b5394"/>
          <w:sz w:val="24"/>
          <w:szCs w:val="24"/>
          <w:rtl w:val="0"/>
        </w:rPr>
        <w:t xml:space="preserve">Conclusão: Lima enfrenta uma alta prevalência de disglicemia entre pacientes com TB e seus contatos. A anemia é um fator de confusão crítico para o teste de HbA1c nesta população. A triagem de rotina utilizando múltiplos métodos diagnósticos (GPJ e TOTG além da HbA1c) é necessária para a detecção precoce e melhores desfechos clínicos.</w:t>
      </w:r>
    </w:p>
    <w:p w:rsidR="00000000" w:rsidDel="00000000" w:rsidP="00000000" w:rsidRDefault="00000000" w:rsidRPr="00000000" w14:paraId="00000017">
      <w:pPr>
        <w:spacing w:after="240" w:line="276" w:lineRule="auto"/>
        <w:rPr>
          <w:rFonts w:ascii="Arial" w:cs="Arial" w:eastAsia="Arial" w:hAnsi="Arial"/>
          <w:b w:val="1"/>
          <w:bCs w:val="1"/>
          <w:sz w:val="30"/>
          <w:szCs w:val="30"/>
        </w:rPr>
      </w:pPr>
      <w:r w:rsidDel="00000000" w:rsidR="00000000" w:rsidRPr="00000000">
        <w:rPr>
          <w:rFonts w:ascii="Arial" w:cs="Arial" w:eastAsia="Arial" w:hAnsi="Arial"/>
          <w:b w:val="1"/>
          <w:bCs w:val="1"/>
          <w:color w:val="0b5394"/>
          <w:sz w:val="24"/>
          <w:szCs w:val="24"/>
          <w:rtl w:val="0"/>
        </w:rPr>
        <w:t xml:space="preserve">Palavras-chave: </w:t>
      </w:r>
      <w:r w:rsidDel="00000000" w:rsidR="00000000" w:rsidRPr="00000000">
        <w:rPr>
          <w:rFonts w:ascii="Arial" w:cs="Arial" w:eastAsia="Arial" w:hAnsi="Arial"/>
          <w:color w:val="0b5394"/>
          <w:sz w:val="24"/>
          <w:szCs w:val="24"/>
          <w:rtl w:val="0"/>
        </w:rPr>
        <w:t xml:space="preserve">Diabetes mellitus, Pré-diabetes, Tuberculose, Comorbidade, Prevalência</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18">
      <w:pPr>
        <w:spacing w:after="240" w:before="240"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19">
      <w:pPr>
        <w:spacing w:after="240" w:line="276" w:lineRule="auto"/>
        <w:rPr>
          <w:rFonts w:ascii="Arial" w:cs="Arial" w:eastAsia="Arial" w:hAnsi="Arial"/>
          <w:b w:val="1"/>
          <w:bCs w:val="1"/>
          <w:color w:val="0b5394"/>
          <w:sz w:val="24"/>
          <w:szCs w:val="24"/>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ynqvb" w:customStyle="1">
    <w:name w:val="rynqvb"/>
    <w:basedOn w:val="Fontepargpadro"/>
    <w:rsid w:val="00EE5A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b9Me359cdR4nNYXUuFUAEnN34g==">CgMxLjA4AHIhMWhKcUo0UE54aG1yeDZNUF9SWG1BTEZmbXdyakFub0J5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2023-11-28T15:21:00Z</dcterms:created>
  <dc:creator>fernanda27585</dc:creator>
</cp:coreProperties>
</file>