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66" w:rsidRDefault="00610766" w:rsidP="00610766">
      <w:pPr>
        <w:pStyle w:val="Default"/>
      </w:pPr>
    </w:p>
    <w:p w:rsidR="00112EB9" w:rsidRDefault="00610766" w:rsidP="00610766">
      <w:pPr>
        <w:rPr>
          <w:sz w:val="42"/>
          <w:szCs w:val="42"/>
          <w:lang w:val="en-US"/>
        </w:rPr>
      </w:pPr>
      <w:r w:rsidRPr="00610766">
        <w:rPr>
          <w:lang w:val="en-US"/>
        </w:rPr>
        <w:t xml:space="preserve"> </w:t>
      </w:r>
      <w:r w:rsidRPr="00610766">
        <w:rPr>
          <w:sz w:val="42"/>
          <w:szCs w:val="42"/>
          <w:lang w:val="en-US"/>
        </w:rPr>
        <w:t>Tuberculosis Treatment Outcomes in Brazil: Different Predictors for Each Type of Unsuccessful Outcome</w:t>
      </w:r>
    </w:p>
    <w:p w:rsidR="00610766" w:rsidRPr="009A3C4A" w:rsidRDefault="00610766" w:rsidP="00610766">
      <w:pPr>
        <w:pStyle w:val="Default"/>
        <w:rPr>
          <w:lang w:val="en-US"/>
        </w:rPr>
      </w:pPr>
    </w:p>
    <w:p w:rsidR="00610766" w:rsidRPr="00610766" w:rsidRDefault="00610766" w:rsidP="00610766">
      <w:pPr>
        <w:pStyle w:val="Default"/>
        <w:rPr>
          <w:rFonts w:eastAsia="STIX General"/>
          <w:sz w:val="19"/>
          <w:szCs w:val="19"/>
          <w:lang w:val="en-US"/>
        </w:rPr>
      </w:pPr>
      <w:r w:rsidRPr="009A3C4A">
        <w:rPr>
          <w:lang w:val="en-US"/>
        </w:rPr>
        <w:t xml:space="preserve"> </w:t>
      </w:r>
      <w:proofErr w:type="gramStart"/>
      <w:r w:rsidRPr="00610766">
        <w:rPr>
          <w:b/>
          <w:bCs/>
          <w:i/>
          <w:iCs/>
          <w:sz w:val="19"/>
          <w:szCs w:val="19"/>
          <w:lang w:val="en-US"/>
        </w:rPr>
        <w:t>Background.</w:t>
      </w:r>
      <w:proofErr w:type="gramEnd"/>
      <w:r w:rsidRPr="00610766">
        <w:rPr>
          <w:b/>
          <w:bCs/>
          <w:i/>
          <w:iCs/>
          <w:sz w:val="19"/>
          <w:szCs w:val="19"/>
          <w:lang w:val="en-US"/>
        </w:rPr>
        <w:t xml:space="preserve"> </w:t>
      </w:r>
      <w:r w:rsidRPr="00610766">
        <w:rPr>
          <w:sz w:val="19"/>
          <w:szCs w:val="19"/>
          <w:lang w:val="en-US"/>
        </w:rPr>
        <w:t xml:space="preserve">Successful tuberculosis (TB) treatment is necessary for disease control. The World Health Organization (WHO) has a target TB treatment success rate of </w:t>
      </w:r>
      <w:r w:rsidRPr="00610766">
        <w:rPr>
          <w:rFonts w:ascii="STIX General" w:eastAsia="STIX General" w:cs="STIX General" w:hint="eastAsia"/>
          <w:sz w:val="19"/>
          <w:szCs w:val="19"/>
          <w:lang w:val="en-US"/>
        </w:rPr>
        <w:t>≥</w:t>
      </w:r>
      <w:r w:rsidRPr="00610766">
        <w:rPr>
          <w:rFonts w:eastAsia="STIX General"/>
          <w:sz w:val="19"/>
          <w:szCs w:val="19"/>
          <w:lang w:val="en-US"/>
        </w:rPr>
        <w:t xml:space="preserve">90%. We assessed whether the different types of unfavorable TB treatment outcome had different predictors. </w:t>
      </w:r>
    </w:p>
    <w:p w:rsidR="00610766" w:rsidRPr="00610766" w:rsidRDefault="00610766" w:rsidP="00610766">
      <w:pPr>
        <w:pStyle w:val="Default"/>
        <w:rPr>
          <w:rFonts w:eastAsia="STIX General"/>
          <w:sz w:val="19"/>
          <w:szCs w:val="19"/>
          <w:lang w:val="en-US"/>
        </w:rPr>
      </w:pPr>
      <w:proofErr w:type="gramStart"/>
      <w:r w:rsidRPr="00610766">
        <w:rPr>
          <w:rFonts w:eastAsia="STIX General"/>
          <w:b/>
          <w:bCs/>
          <w:i/>
          <w:iCs/>
          <w:sz w:val="19"/>
          <w:szCs w:val="19"/>
          <w:lang w:val="en-US"/>
        </w:rPr>
        <w:t>Methods.</w:t>
      </w:r>
      <w:proofErr w:type="gramEnd"/>
      <w:r w:rsidRPr="00610766">
        <w:rPr>
          <w:rFonts w:eastAsia="STIX General"/>
          <w:b/>
          <w:bCs/>
          <w:i/>
          <w:iCs/>
          <w:sz w:val="19"/>
          <w:szCs w:val="19"/>
          <w:lang w:val="en-US"/>
        </w:rPr>
        <w:t xml:space="preserve"> </w:t>
      </w:r>
      <w:r w:rsidRPr="00610766">
        <w:rPr>
          <w:rFonts w:eastAsia="STIX General"/>
          <w:sz w:val="19"/>
          <w:szCs w:val="19"/>
          <w:lang w:val="en-US"/>
        </w:rPr>
        <w:t xml:space="preserve">Using data from Regional Prospective Observational Research for Tuberculosis-Brazil, we evaluated biological and behavioral factors associated with each component of unsuccessful TB outcomes, recently updated by WHO (death, loss to follow-up [LTFU], and treatment failure). We included culture-confirmed, drug-susceptible, pulmonary TB participants receiving standard treatment in 2015–2019. Multinomial logistic regression models with inverse probability weighting were used to evaluate the distinct determinants of each unsuccessful outcome. </w:t>
      </w:r>
    </w:p>
    <w:p w:rsidR="00610766" w:rsidRPr="00610766" w:rsidRDefault="00610766" w:rsidP="00610766">
      <w:pPr>
        <w:pStyle w:val="Default"/>
        <w:rPr>
          <w:rFonts w:eastAsia="STIX General"/>
          <w:sz w:val="19"/>
          <w:szCs w:val="19"/>
          <w:lang w:val="en-US"/>
        </w:rPr>
      </w:pPr>
      <w:proofErr w:type="gramStart"/>
      <w:r w:rsidRPr="00610766">
        <w:rPr>
          <w:rFonts w:eastAsia="STIX General"/>
          <w:b/>
          <w:bCs/>
          <w:i/>
          <w:iCs/>
          <w:sz w:val="19"/>
          <w:szCs w:val="19"/>
          <w:lang w:val="en-US"/>
        </w:rPr>
        <w:t>Results.</w:t>
      </w:r>
      <w:proofErr w:type="gramEnd"/>
      <w:r w:rsidRPr="00610766">
        <w:rPr>
          <w:rFonts w:eastAsia="STIX General"/>
          <w:b/>
          <w:bCs/>
          <w:i/>
          <w:iCs/>
          <w:sz w:val="19"/>
          <w:szCs w:val="19"/>
          <w:lang w:val="en-US"/>
        </w:rPr>
        <w:t xml:space="preserve"> </w:t>
      </w:r>
      <w:r w:rsidRPr="00610766">
        <w:rPr>
          <w:rFonts w:eastAsia="STIX General"/>
          <w:sz w:val="19"/>
          <w:szCs w:val="19"/>
          <w:lang w:val="en-US"/>
        </w:rPr>
        <w:t>Of 915 participants included, 727 (79%) were successfully treated, 118 (13%) were LTFU, 44 (5%) had treatment failure, and 26 (3%) died. LTFU was associated with current drug-use (adjusted odds ratio [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proofErr w:type="gramStart"/>
      <w:r w:rsidRPr="00610766">
        <w:rPr>
          <w:rFonts w:eastAsia="STIX General"/>
          <w:sz w:val="19"/>
          <w:szCs w:val="19"/>
          <w:lang w:val="en-US"/>
        </w:rPr>
        <w:t>]</w:t>
      </w:r>
      <w:r w:rsidRPr="00610766">
        <w:rPr>
          <w:rFonts w:ascii="STIX General" w:eastAsia="STIX General" w:cs="STIX General"/>
          <w:sz w:val="19"/>
          <w:szCs w:val="19"/>
          <w:lang w:val="en-US"/>
        </w:rPr>
        <w:t>=</w:t>
      </w:r>
      <w:proofErr w:type="gramEnd"/>
      <w:r w:rsidRPr="00610766">
        <w:rPr>
          <w:rFonts w:eastAsia="STIX General"/>
          <w:sz w:val="19"/>
          <w:szCs w:val="19"/>
          <w:lang w:val="en-US"/>
        </w:rPr>
        <w:t>5.3; 95% confidence interval [CI], 3.0–9.4), current tobacco use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 xml:space="preserve">= </w:t>
      </w:r>
      <w:r w:rsidRPr="00610766">
        <w:rPr>
          <w:rFonts w:eastAsia="STIX General"/>
          <w:sz w:val="19"/>
          <w:szCs w:val="19"/>
          <w:lang w:val="en-US"/>
        </w:rPr>
        <w:t>2.9; 95% CI, 1.7–4.9), and being a person with HIV (PWH)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 xml:space="preserve">= </w:t>
      </w:r>
      <w:r w:rsidRPr="00610766">
        <w:rPr>
          <w:rFonts w:eastAsia="STIX General"/>
          <w:sz w:val="19"/>
          <w:szCs w:val="19"/>
          <w:lang w:val="en-US"/>
        </w:rPr>
        <w:t>2.0; 95% CI, 1.1–3.5). Treatment failure was associated with PWH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 xml:space="preserve">= </w:t>
      </w:r>
      <w:r w:rsidRPr="00610766">
        <w:rPr>
          <w:rFonts w:eastAsia="STIX General"/>
          <w:sz w:val="19"/>
          <w:szCs w:val="19"/>
          <w:lang w:val="en-US"/>
        </w:rPr>
        <w:t>2.7; 95% CI, 1.2–6.2) and having diabetes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>=</w:t>
      </w:r>
      <w:r w:rsidRPr="00610766">
        <w:rPr>
          <w:rFonts w:eastAsia="STIX General"/>
          <w:sz w:val="19"/>
          <w:szCs w:val="19"/>
          <w:lang w:val="en-US"/>
        </w:rPr>
        <w:t>2.2; 95% CI, 1.1–4.4). Death was associated with anemia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 xml:space="preserve">= </w:t>
      </w:r>
      <w:r w:rsidRPr="00610766">
        <w:rPr>
          <w:rFonts w:eastAsia="STIX General"/>
          <w:sz w:val="19"/>
          <w:szCs w:val="19"/>
          <w:lang w:val="en-US"/>
        </w:rPr>
        <w:t>5.3; 95% CI, 1.4–19.7), diabetes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>=</w:t>
      </w:r>
      <w:r w:rsidRPr="00610766">
        <w:rPr>
          <w:rFonts w:eastAsia="STIX General"/>
          <w:sz w:val="19"/>
          <w:szCs w:val="19"/>
          <w:lang w:val="en-US"/>
        </w:rPr>
        <w:t>3.1; 95% CI, 1.4–6.7), and PWH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 xml:space="preserve">= </w:t>
      </w:r>
      <w:r w:rsidRPr="00610766">
        <w:rPr>
          <w:rFonts w:eastAsia="STIX General"/>
          <w:sz w:val="19"/>
          <w:szCs w:val="19"/>
          <w:lang w:val="en-US"/>
        </w:rPr>
        <w:t>3.9; 95% CI, 1.3–11.4). Direct observed therapy was protective for treatment failure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>=</w:t>
      </w:r>
      <w:r w:rsidRPr="00610766">
        <w:rPr>
          <w:rFonts w:eastAsia="STIX General"/>
          <w:sz w:val="19"/>
          <w:szCs w:val="19"/>
          <w:lang w:val="en-US"/>
        </w:rPr>
        <w:t>0.5; 95% CI, .3–.9) and death (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aOR</w:t>
      </w:r>
      <w:proofErr w:type="spellEnd"/>
      <w:r w:rsidRPr="00610766">
        <w:rPr>
          <w:rFonts w:ascii="STIX General" w:eastAsia="STIX General" w:cs="STIX General"/>
          <w:sz w:val="19"/>
          <w:szCs w:val="19"/>
          <w:lang w:val="en-US"/>
        </w:rPr>
        <w:t xml:space="preserve">= </w:t>
      </w:r>
      <w:r w:rsidRPr="00610766">
        <w:rPr>
          <w:rFonts w:eastAsia="STIX General"/>
          <w:sz w:val="19"/>
          <w:szCs w:val="19"/>
          <w:lang w:val="en-US"/>
        </w:rPr>
        <w:t xml:space="preserve">0.5; 95% CI, .2–1.0). </w:t>
      </w:r>
    </w:p>
    <w:p w:rsidR="00610766" w:rsidRPr="00610766" w:rsidRDefault="00610766" w:rsidP="00610766">
      <w:pPr>
        <w:pStyle w:val="Default"/>
        <w:rPr>
          <w:rFonts w:eastAsia="STIX General"/>
          <w:sz w:val="19"/>
          <w:szCs w:val="19"/>
          <w:lang w:val="en-US"/>
        </w:rPr>
      </w:pPr>
      <w:proofErr w:type="gramStart"/>
      <w:r w:rsidRPr="00610766">
        <w:rPr>
          <w:rFonts w:eastAsia="STIX General"/>
          <w:b/>
          <w:bCs/>
          <w:i/>
          <w:iCs/>
          <w:sz w:val="19"/>
          <w:szCs w:val="19"/>
          <w:lang w:val="en-US"/>
        </w:rPr>
        <w:t>Conclusions.</w:t>
      </w:r>
      <w:proofErr w:type="gramEnd"/>
      <w:r w:rsidRPr="00610766">
        <w:rPr>
          <w:rFonts w:eastAsia="STIX General"/>
          <w:b/>
          <w:bCs/>
          <w:i/>
          <w:iCs/>
          <w:sz w:val="19"/>
          <w:szCs w:val="19"/>
          <w:lang w:val="en-US"/>
        </w:rPr>
        <w:t xml:space="preserve"> </w:t>
      </w:r>
      <w:r w:rsidRPr="00610766">
        <w:rPr>
          <w:rFonts w:eastAsia="STIX General"/>
          <w:sz w:val="19"/>
          <w:szCs w:val="19"/>
          <w:lang w:val="en-US"/>
        </w:rPr>
        <w:t xml:space="preserve">The treatment success rate was below the WHO target. Behavioral factors were most associated with LTFU, whereas clinical </w:t>
      </w:r>
      <w:proofErr w:type="spellStart"/>
      <w:r w:rsidRPr="00610766">
        <w:rPr>
          <w:rFonts w:eastAsia="STIX General"/>
          <w:sz w:val="19"/>
          <w:szCs w:val="19"/>
          <w:lang w:val="en-US"/>
        </w:rPr>
        <w:t>comorbidities</w:t>
      </w:r>
      <w:proofErr w:type="spellEnd"/>
      <w:r w:rsidRPr="00610766">
        <w:rPr>
          <w:rFonts w:eastAsia="STIX General"/>
          <w:sz w:val="19"/>
          <w:szCs w:val="19"/>
          <w:lang w:val="en-US"/>
        </w:rPr>
        <w:t xml:space="preserve"> were correlated with treatment failure and death. Because determinants of unsuccessful outcomes are distinct, different intervention strategies may be needed to improve TB outcomes. </w:t>
      </w:r>
    </w:p>
    <w:p w:rsidR="00610766" w:rsidRDefault="00610766" w:rsidP="00610766">
      <w:pPr>
        <w:rPr>
          <w:rFonts w:eastAsia="STIX General"/>
          <w:sz w:val="19"/>
          <w:szCs w:val="19"/>
          <w:lang w:val="en-US"/>
        </w:rPr>
      </w:pPr>
      <w:proofErr w:type="gramStart"/>
      <w:r w:rsidRPr="00610766">
        <w:rPr>
          <w:rFonts w:eastAsia="STIX General"/>
          <w:b/>
          <w:bCs/>
          <w:sz w:val="19"/>
          <w:szCs w:val="19"/>
          <w:lang w:val="en-US"/>
        </w:rPr>
        <w:t>Keywords.</w:t>
      </w:r>
      <w:proofErr w:type="gramEnd"/>
      <w:r w:rsidRPr="00610766">
        <w:rPr>
          <w:rFonts w:eastAsia="STIX General"/>
          <w:b/>
          <w:bCs/>
          <w:sz w:val="19"/>
          <w:szCs w:val="19"/>
          <w:lang w:val="en-US"/>
        </w:rPr>
        <w:t xml:space="preserve"> </w:t>
      </w:r>
      <w:proofErr w:type="gramStart"/>
      <w:r w:rsidRPr="00610766">
        <w:rPr>
          <w:rFonts w:eastAsia="STIX General"/>
          <w:sz w:val="19"/>
          <w:szCs w:val="19"/>
          <w:lang w:val="en-US"/>
        </w:rPr>
        <w:t>tuberculosis</w:t>
      </w:r>
      <w:proofErr w:type="gramEnd"/>
      <w:r w:rsidRPr="00610766">
        <w:rPr>
          <w:rFonts w:eastAsia="STIX General"/>
          <w:sz w:val="19"/>
          <w:szCs w:val="19"/>
          <w:lang w:val="en-US"/>
        </w:rPr>
        <w:t>; treatment; outcomes; loss-to-follow-up; DOT.</w:t>
      </w:r>
    </w:p>
    <w:p w:rsidR="009A3C4A" w:rsidRPr="00BB2A9A" w:rsidRDefault="009A3C4A" w:rsidP="009A3C4A">
      <w:pPr>
        <w:rPr>
          <w:color w:val="1F497D" w:themeColor="text2"/>
          <w:sz w:val="28"/>
          <w:szCs w:val="28"/>
        </w:rPr>
      </w:pPr>
      <w:r w:rsidRPr="00BB2A9A">
        <w:rPr>
          <w:color w:val="1F497D" w:themeColor="text2"/>
          <w:sz w:val="28"/>
          <w:szCs w:val="28"/>
        </w:rPr>
        <w:t xml:space="preserve">Resultados do tratamento da tuberculose no Brasil: diferentes </w:t>
      </w:r>
      <w:proofErr w:type="spellStart"/>
      <w:r w:rsidRPr="00BB2A9A">
        <w:rPr>
          <w:color w:val="1F497D" w:themeColor="text2"/>
          <w:sz w:val="28"/>
          <w:szCs w:val="28"/>
        </w:rPr>
        <w:t>preditores</w:t>
      </w:r>
      <w:proofErr w:type="spellEnd"/>
      <w:r w:rsidRPr="00BB2A9A">
        <w:rPr>
          <w:color w:val="1F497D" w:themeColor="text2"/>
          <w:sz w:val="28"/>
          <w:szCs w:val="28"/>
        </w:rPr>
        <w:t xml:space="preserve"> para cada tipo de desfecho desfavorável</w:t>
      </w:r>
    </w:p>
    <w:p w:rsidR="00BB2A9A" w:rsidRPr="00BB2A9A" w:rsidRDefault="00BB2A9A" w:rsidP="00BB2A9A">
      <w:pPr>
        <w:rPr>
          <w:color w:val="1F497D" w:themeColor="text2"/>
        </w:rPr>
      </w:pPr>
      <w:r w:rsidRPr="00BB2A9A">
        <w:rPr>
          <w:b/>
          <w:i/>
          <w:color w:val="1F497D" w:themeColor="text2"/>
        </w:rPr>
        <w:t>Background</w:t>
      </w:r>
      <w:r w:rsidRPr="00BB2A9A">
        <w:rPr>
          <w:color w:val="1F497D" w:themeColor="text2"/>
        </w:rPr>
        <w:t xml:space="preserve">. O tratamento bem-sucedido da tuberculose (TB) é necessário para o controle da doença. A Organização Mundial da Saúde (OMS) tem uma meta de taxa de sucesso do tratamento da TB de ≥90%. Avaliamos se os diferentes tipos de resultados desfavoráveis do tratamento da TB tinham diferentes </w:t>
      </w:r>
      <w:proofErr w:type="spellStart"/>
      <w:r w:rsidRPr="00BB2A9A">
        <w:rPr>
          <w:color w:val="1F497D" w:themeColor="text2"/>
        </w:rPr>
        <w:t>preditores</w:t>
      </w:r>
      <w:proofErr w:type="spellEnd"/>
      <w:r w:rsidRPr="00BB2A9A">
        <w:rPr>
          <w:color w:val="1F497D" w:themeColor="text2"/>
        </w:rPr>
        <w:t>.</w:t>
      </w:r>
      <w:r w:rsidR="00E32EF2">
        <w:rPr>
          <w:color w:val="1F497D" w:themeColor="text2"/>
        </w:rPr>
        <w:br/>
      </w:r>
      <w:r w:rsidRPr="00BB2A9A">
        <w:rPr>
          <w:color w:val="1F497D" w:themeColor="text2"/>
        </w:rPr>
        <w:t xml:space="preserve"> </w:t>
      </w:r>
      <w:r w:rsidRPr="00E32EF2">
        <w:rPr>
          <w:b/>
          <w:i/>
          <w:color w:val="1F497D" w:themeColor="text2"/>
        </w:rPr>
        <w:t>Métodos</w:t>
      </w:r>
      <w:r w:rsidRPr="00BB2A9A">
        <w:rPr>
          <w:color w:val="1F497D" w:themeColor="text2"/>
        </w:rPr>
        <w:t xml:space="preserve">. Utilizando dados da Pesquisa Observacional Prospectiva Regional para </w:t>
      </w:r>
      <w:proofErr w:type="spellStart"/>
      <w:r w:rsidRPr="00BB2A9A">
        <w:rPr>
          <w:color w:val="1F497D" w:themeColor="text2"/>
        </w:rPr>
        <w:t>Tuberculose-Brasil</w:t>
      </w:r>
      <w:proofErr w:type="spellEnd"/>
      <w:r w:rsidRPr="00BB2A9A">
        <w:rPr>
          <w:color w:val="1F497D" w:themeColor="text2"/>
        </w:rPr>
        <w:t xml:space="preserve">, avaliamos os fatores biológicos e comportamentais associados a cada componente dos </w:t>
      </w:r>
      <w:r w:rsidR="00584E22">
        <w:rPr>
          <w:color w:val="1F497D" w:themeColor="text2"/>
        </w:rPr>
        <w:t>desfec</w:t>
      </w:r>
      <w:r w:rsidR="009A3C4A">
        <w:rPr>
          <w:color w:val="1F497D" w:themeColor="text2"/>
        </w:rPr>
        <w:t>h</w:t>
      </w:r>
      <w:r w:rsidR="00584E22">
        <w:rPr>
          <w:color w:val="1F497D" w:themeColor="text2"/>
        </w:rPr>
        <w:t>os desfavoráveis</w:t>
      </w:r>
      <w:r w:rsidRPr="00BB2A9A">
        <w:rPr>
          <w:color w:val="1F497D" w:themeColor="text2"/>
        </w:rPr>
        <w:t xml:space="preserve"> da TB, atualizados recentemente pela OMS (morte, perda de </w:t>
      </w:r>
      <w:r w:rsidR="003C437D">
        <w:rPr>
          <w:color w:val="1F497D" w:themeColor="text2"/>
        </w:rPr>
        <w:t>seguimento</w:t>
      </w:r>
      <w:r w:rsidRPr="00BB2A9A">
        <w:rPr>
          <w:color w:val="1F497D" w:themeColor="text2"/>
        </w:rPr>
        <w:t xml:space="preserve"> e falha no tratamento). Incluímos participantes com TB pulmonar, suscetíve</w:t>
      </w:r>
      <w:r w:rsidR="00584E22">
        <w:rPr>
          <w:color w:val="1F497D" w:themeColor="text2"/>
        </w:rPr>
        <w:t>l</w:t>
      </w:r>
      <w:r w:rsidRPr="00BB2A9A">
        <w:rPr>
          <w:color w:val="1F497D" w:themeColor="text2"/>
        </w:rPr>
        <w:t xml:space="preserve"> a medicamentos confirmad</w:t>
      </w:r>
      <w:r w:rsidR="00584E22">
        <w:rPr>
          <w:color w:val="1F497D" w:themeColor="text2"/>
        </w:rPr>
        <w:t>a</w:t>
      </w:r>
      <w:r w:rsidRPr="00BB2A9A">
        <w:rPr>
          <w:color w:val="1F497D" w:themeColor="text2"/>
        </w:rPr>
        <w:t xml:space="preserve"> por cultura, que receberam tratamento padrão em 2015–2019. Modelos de regressão logística </w:t>
      </w:r>
      <w:proofErr w:type="spellStart"/>
      <w:r w:rsidRPr="00BB2A9A">
        <w:rPr>
          <w:color w:val="1F497D" w:themeColor="text2"/>
        </w:rPr>
        <w:t>multinomial</w:t>
      </w:r>
      <w:proofErr w:type="spellEnd"/>
      <w:r w:rsidRPr="00BB2A9A">
        <w:rPr>
          <w:color w:val="1F497D" w:themeColor="text2"/>
        </w:rPr>
        <w:t xml:space="preserve"> com ponderação de probabilidade inversa foram utilizados para avaliar os distintos determinantes de cada desfecho </w:t>
      </w:r>
      <w:r w:rsidR="00584E22">
        <w:rPr>
          <w:color w:val="1F497D" w:themeColor="text2"/>
        </w:rPr>
        <w:t>desfavorável</w:t>
      </w:r>
      <w:r w:rsidRPr="00BB2A9A">
        <w:rPr>
          <w:color w:val="1F497D" w:themeColor="text2"/>
        </w:rPr>
        <w:t xml:space="preserve">. </w:t>
      </w:r>
      <w:r w:rsidR="003C437D">
        <w:rPr>
          <w:color w:val="1F497D" w:themeColor="text2"/>
        </w:rPr>
        <w:br/>
      </w:r>
      <w:r w:rsidRPr="003C437D">
        <w:rPr>
          <w:b/>
          <w:i/>
          <w:color w:val="1F497D" w:themeColor="text2"/>
        </w:rPr>
        <w:t>Resultados</w:t>
      </w:r>
      <w:r w:rsidRPr="00BB2A9A">
        <w:rPr>
          <w:color w:val="1F497D" w:themeColor="text2"/>
        </w:rPr>
        <w:t xml:space="preserve">. Dos 915 participantes incluídos, 727 (79%) foram tratados com sucesso, 118 (13%) </w:t>
      </w:r>
      <w:r w:rsidR="003C437D">
        <w:rPr>
          <w:color w:val="1F497D" w:themeColor="text2"/>
        </w:rPr>
        <w:t>tiveram perda de seguiment</w:t>
      </w:r>
      <w:r w:rsidR="009A3C4A">
        <w:rPr>
          <w:color w:val="1F497D" w:themeColor="text2"/>
        </w:rPr>
        <w:t>o</w:t>
      </w:r>
      <w:r w:rsidRPr="00BB2A9A">
        <w:rPr>
          <w:color w:val="1F497D" w:themeColor="text2"/>
        </w:rPr>
        <w:t xml:space="preserve">, 44 (5%) tiveram falha no tratamento e 26 (3%) morreram. </w:t>
      </w:r>
      <w:r w:rsidR="003C437D">
        <w:rPr>
          <w:color w:val="1F497D" w:themeColor="text2"/>
        </w:rPr>
        <w:t>A perda de seguimento</w:t>
      </w:r>
      <w:r w:rsidRPr="00BB2A9A">
        <w:rPr>
          <w:color w:val="1F497D" w:themeColor="text2"/>
        </w:rPr>
        <w:t xml:space="preserve"> foi associad</w:t>
      </w:r>
      <w:r w:rsidR="003C437D">
        <w:rPr>
          <w:color w:val="1F497D" w:themeColor="text2"/>
        </w:rPr>
        <w:t>a</w:t>
      </w:r>
      <w:r w:rsidRPr="00BB2A9A">
        <w:rPr>
          <w:color w:val="1F497D" w:themeColor="text2"/>
        </w:rPr>
        <w:t xml:space="preserve"> ao uso </w:t>
      </w:r>
      <w:r w:rsidR="003C437D">
        <w:rPr>
          <w:color w:val="1F497D" w:themeColor="text2"/>
        </w:rPr>
        <w:t xml:space="preserve">atual </w:t>
      </w:r>
      <w:r w:rsidRPr="00BB2A9A">
        <w:rPr>
          <w:color w:val="1F497D" w:themeColor="text2"/>
        </w:rPr>
        <w:t>de drogas (</w:t>
      </w:r>
      <w:r w:rsidR="003C437D">
        <w:rPr>
          <w:color w:val="1F497D" w:themeColor="text2"/>
        </w:rPr>
        <w:t>razão de probabilidade</w:t>
      </w:r>
      <w:r w:rsidRPr="00BB2A9A">
        <w:rPr>
          <w:color w:val="1F497D" w:themeColor="text2"/>
        </w:rPr>
        <w:t xml:space="preserve"> ajustad</w:t>
      </w:r>
      <w:r w:rsidR="003C437D">
        <w:rPr>
          <w:color w:val="1F497D" w:themeColor="text2"/>
        </w:rPr>
        <w:t>a</w:t>
      </w:r>
      <w:r w:rsidRPr="00BB2A9A">
        <w:rPr>
          <w:color w:val="1F497D" w:themeColor="text2"/>
        </w:rPr>
        <w:t xml:space="preserve"> [</w:t>
      </w:r>
      <w:proofErr w:type="spellStart"/>
      <w:proofErr w:type="gramStart"/>
      <w:r w:rsidRPr="00BB2A9A">
        <w:rPr>
          <w:color w:val="1F497D" w:themeColor="text2"/>
        </w:rPr>
        <w:t>aOR</w:t>
      </w:r>
      <w:proofErr w:type="spellEnd"/>
      <w:proofErr w:type="gramEnd"/>
      <w:r w:rsidRPr="00BB2A9A">
        <w:rPr>
          <w:color w:val="1F497D" w:themeColor="text2"/>
        </w:rPr>
        <w:t>] = 5,3; intervalo de confiança [IC] de 95%, 3,0–9,4), uso atual de tabaco (</w:t>
      </w:r>
      <w:proofErr w:type="spellStart"/>
      <w:r w:rsidRPr="00BB2A9A">
        <w:rPr>
          <w:color w:val="1F497D" w:themeColor="text2"/>
        </w:rPr>
        <w:t>aOR</w:t>
      </w:r>
      <w:proofErr w:type="spellEnd"/>
      <w:r w:rsidRPr="00BB2A9A">
        <w:rPr>
          <w:color w:val="1F497D" w:themeColor="text2"/>
        </w:rPr>
        <w:t xml:space="preserve"> = 2,9; IC </w:t>
      </w:r>
      <w:r w:rsidRPr="00BB2A9A">
        <w:rPr>
          <w:color w:val="1F497D" w:themeColor="text2"/>
        </w:rPr>
        <w:lastRenderedPageBreak/>
        <w:t>95%, 1,7–4,9) e ser uma pessoa com HIV (PWH) (</w:t>
      </w:r>
      <w:proofErr w:type="spellStart"/>
      <w:r w:rsidRPr="00BB2A9A">
        <w:rPr>
          <w:color w:val="1F497D" w:themeColor="text2"/>
        </w:rPr>
        <w:t>aOR</w:t>
      </w:r>
      <w:proofErr w:type="spellEnd"/>
      <w:r w:rsidRPr="00BB2A9A">
        <w:rPr>
          <w:color w:val="1F497D" w:themeColor="text2"/>
        </w:rPr>
        <w:t>= 2,0; IC 95%, 1,1–3,5). A falha do tratamento foi associada à HAP (</w:t>
      </w:r>
      <w:proofErr w:type="spellStart"/>
      <w:proofErr w:type="gramStart"/>
      <w:r w:rsidRPr="00BB2A9A">
        <w:rPr>
          <w:color w:val="1F497D" w:themeColor="text2"/>
        </w:rPr>
        <w:t>aOR</w:t>
      </w:r>
      <w:proofErr w:type="spellEnd"/>
      <w:proofErr w:type="gramEnd"/>
      <w:r w:rsidRPr="00BB2A9A">
        <w:rPr>
          <w:color w:val="1F497D" w:themeColor="text2"/>
        </w:rPr>
        <w:t xml:space="preserve"> = 2,7; IC 95%, 1,2–6,2) e diabetes (</w:t>
      </w:r>
      <w:proofErr w:type="spellStart"/>
      <w:r w:rsidRPr="00BB2A9A">
        <w:rPr>
          <w:color w:val="1F497D" w:themeColor="text2"/>
        </w:rPr>
        <w:t>aOR</w:t>
      </w:r>
      <w:proofErr w:type="spellEnd"/>
      <w:r w:rsidRPr="00BB2A9A">
        <w:rPr>
          <w:color w:val="1F497D" w:themeColor="text2"/>
        </w:rPr>
        <w:t xml:space="preserve"> = 2,2; IC 95%, 1,1–4,4). A morte foi associada à anemia (</w:t>
      </w:r>
      <w:proofErr w:type="spellStart"/>
      <w:proofErr w:type="gramStart"/>
      <w:r w:rsidRPr="00BB2A9A">
        <w:rPr>
          <w:color w:val="1F497D" w:themeColor="text2"/>
        </w:rPr>
        <w:t>ORa</w:t>
      </w:r>
      <w:proofErr w:type="spellEnd"/>
      <w:proofErr w:type="gramEnd"/>
      <w:r w:rsidRPr="00BB2A9A">
        <w:rPr>
          <w:color w:val="1F497D" w:themeColor="text2"/>
        </w:rPr>
        <w:t>= 5,3; IC 95%, 1,4–19,7), diabetes (</w:t>
      </w:r>
      <w:proofErr w:type="spellStart"/>
      <w:r w:rsidRPr="00BB2A9A">
        <w:rPr>
          <w:color w:val="1F497D" w:themeColor="text2"/>
        </w:rPr>
        <w:t>ORa</w:t>
      </w:r>
      <w:proofErr w:type="spellEnd"/>
      <w:r w:rsidRPr="00BB2A9A">
        <w:rPr>
          <w:color w:val="1F497D" w:themeColor="text2"/>
        </w:rPr>
        <w:t>=3,1; IC 95%, 1,4–6,7) e HAP (</w:t>
      </w:r>
      <w:proofErr w:type="spellStart"/>
      <w:r w:rsidRPr="00BB2A9A">
        <w:rPr>
          <w:color w:val="1F497D" w:themeColor="text2"/>
        </w:rPr>
        <w:t>ORa</w:t>
      </w:r>
      <w:proofErr w:type="spellEnd"/>
      <w:r w:rsidRPr="00BB2A9A">
        <w:rPr>
          <w:color w:val="1F497D" w:themeColor="text2"/>
        </w:rPr>
        <w:t>= 3,9; IC 95%, 1,3–11,4). A terapia observada diretamente foi protetora para falha do tratamento (</w:t>
      </w:r>
      <w:proofErr w:type="spellStart"/>
      <w:proofErr w:type="gramStart"/>
      <w:r w:rsidRPr="00BB2A9A">
        <w:rPr>
          <w:color w:val="1F497D" w:themeColor="text2"/>
        </w:rPr>
        <w:t>aOR</w:t>
      </w:r>
      <w:proofErr w:type="spellEnd"/>
      <w:proofErr w:type="gramEnd"/>
      <w:r w:rsidRPr="00BB2A9A">
        <w:rPr>
          <w:color w:val="1F497D" w:themeColor="text2"/>
        </w:rPr>
        <w:t>=0,5; IC 95%, 0,3–0,9) e morte (</w:t>
      </w:r>
      <w:proofErr w:type="spellStart"/>
      <w:r w:rsidRPr="00BB2A9A">
        <w:rPr>
          <w:color w:val="1F497D" w:themeColor="text2"/>
        </w:rPr>
        <w:t>aOR</w:t>
      </w:r>
      <w:proofErr w:type="spellEnd"/>
      <w:r w:rsidRPr="00BB2A9A">
        <w:rPr>
          <w:color w:val="1F497D" w:themeColor="text2"/>
        </w:rPr>
        <w:t xml:space="preserve">= 0,5; IC 95%, 0,2–1,0). </w:t>
      </w:r>
      <w:r w:rsidRPr="009A3C4A">
        <w:rPr>
          <w:b/>
          <w:i/>
          <w:color w:val="1F497D" w:themeColor="text2"/>
        </w:rPr>
        <w:t>Conclusões</w:t>
      </w:r>
      <w:r w:rsidRPr="00BB2A9A">
        <w:rPr>
          <w:color w:val="1F497D" w:themeColor="text2"/>
        </w:rPr>
        <w:t>. A taxa de sucesso do tratamento ficou abaixo da meta da OMS. Fatores comportamentais foram mais associados à LTFU, enquanto comorbidades clínicas foram correlacionadas com falha no tratamento e óbito. Dado que os determinantes dos resultados mal sucedidos são distintos, podem ser necessárias diferentes estratégias de intervenção para melhorar os resultados da TB.</w:t>
      </w:r>
      <w:r w:rsidR="009A3C4A">
        <w:rPr>
          <w:color w:val="1F497D" w:themeColor="text2"/>
        </w:rPr>
        <w:br/>
      </w:r>
      <w:r w:rsidRPr="00BB2A9A">
        <w:rPr>
          <w:color w:val="1F497D" w:themeColor="text2"/>
        </w:rPr>
        <w:t xml:space="preserve"> </w:t>
      </w:r>
      <w:r w:rsidRPr="009A3C4A">
        <w:rPr>
          <w:b/>
          <w:i/>
          <w:color w:val="1F497D" w:themeColor="text2"/>
        </w:rPr>
        <w:t>Palavras-chave</w:t>
      </w:r>
      <w:r w:rsidRPr="00BB2A9A">
        <w:rPr>
          <w:color w:val="1F497D" w:themeColor="text2"/>
        </w:rPr>
        <w:t xml:space="preserve">. </w:t>
      </w:r>
      <w:proofErr w:type="gramStart"/>
      <w:r w:rsidRPr="00BB2A9A">
        <w:rPr>
          <w:color w:val="1F497D" w:themeColor="text2"/>
        </w:rPr>
        <w:t>tuberculose</w:t>
      </w:r>
      <w:proofErr w:type="gramEnd"/>
      <w:r w:rsidRPr="00BB2A9A">
        <w:rPr>
          <w:color w:val="1F497D" w:themeColor="text2"/>
        </w:rPr>
        <w:t xml:space="preserve">; tratamento; resultados; perda de acompanhamento; </w:t>
      </w:r>
      <w:r w:rsidR="0051085A">
        <w:rPr>
          <w:color w:val="1F497D" w:themeColor="text2"/>
        </w:rPr>
        <w:t>TDO</w:t>
      </w:r>
      <w:r w:rsidRPr="00BB2A9A">
        <w:rPr>
          <w:color w:val="1F497D" w:themeColor="text2"/>
        </w:rPr>
        <w:t>.</w:t>
      </w:r>
    </w:p>
    <w:sectPr w:rsidR="00BB2A9A" w:rsidRPr="00BB2A9A" w:rsidSect="00112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IX General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0766"/>
    <w:rsid w:val="0005500C"/>
    <w:rsid w:val="00112EB9"/>
    <w:rsid w:val="003C437D"/>
    <w:rsid w:val="0051085A"/>
    <w:rsid w:val="00584E22"/>
    <w:rsid w:val="00610766"/>
    <w:rsid w:val="009A3C4A"/>
    <w:rsid w:val="00BB2A9A"/>
    <w:rsid w:val="00E3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0766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rynqvb">
    <w:name w:val="rynqvb"/>
    <w:basedOn w:val="Fontepargpadro"/>
    <w:rsid w:val="00BB2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fernanda27585</dc:creator>
  <cp:lastModifiedBy>fernanda27585</cp:lastModifiedBy>
  <cp:revision>3</cp:revision>
  <dcterms:created xsi:type="dcterms:W3CDTF">2023-11-23T14:11:00Z</dcterms:created>
  <dcterms:modified xsi:type="dcterms:W3CDTF">2023-11-28T14:26:00Z</dcterms:modified>
</cp:coreProperties>
</file>