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2018</w:t>
      </w:r>
    </w:p>
    <w:p w:rsidR="00000000" w:rsidDel="00000000" w:rsidP="00000000" w:rsidRDefault="00000000" w:rsidRPr="00000000" w14:paraId="00000002">
      <w:pPr>
        <w:spacing w:after="24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Interferon-gamma release assay performance in northeastern Brazil: influence of the IFNG +874 A&gt;T polymorphism</w:t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Background:</w:t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The diagnosis of latent tuberculosis infection (LTBI) has evolved from the tuberculin skin test (TST) to interferon-gamma release assays (IGRAs), such as QuantiFERON-TB Gold In-Tube (QFT-IT). While IGRAs offer better specificity in BCG-vaccinated populations, their performance can be influenced by host genetic factors.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+874 A/T polymorphism is known to affect the transcription levels of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gene, with the AA genotype previously linked to low IFN-$\gamma$ production and increased TB susceptibility. Investigating how this genetic variation impacts IGRA sensitivity is essential for accurate LTBI screening in endemic areas.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Abstract: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Methods: This study evaluated 202 volunteers in Salvador, Brazil, categorized into three groups: treatment-naïve pulmonary TB patients ($n=75$), individuals with positive TST ($n=70$), and healthy volunteers with negative TST ($n=57$). All participants were tested for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+874 A/T genotype and underwent QFT-IT assays to measure IFN-$\gamma$ production under different stimulation conditions.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Results: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+874 AA genotype and the A allele were significantly more frequent in TB patients compared to TST-negative controls ($p=0.004$ and $p=0.001$, respectively). While healthy individuals with the AA genotype showed lower IFN-$\gamma$ production upon mitogen (PHA) stimulation, no significant differences were observed in IFN-$\gamma$ levels between genotypes within the infected groups (TB and TST+), regardless of the stimulus used. The QFT-IT test sensitivity was 90.7% and was not significantly influenced by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+874 genotype.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Conclusion: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+874 polymorphism does not significantly impact the performance or sensitivity of the QuantiFERON-TB Gold In-Tube test in this admixed population from northeastern Brazil.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Keywords: Tuberculosis infection; Genetic variation; Sensitivity.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before="0" w:line="276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saz9i03ylae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Desempenho do ensaio de liberação de interferon-gama no nordeste do Brasil: influência do polimorfismo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sz w:val="30"/>
          <w:szCs w:val="30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 +874 A&gt;T</w:t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Contexto:</w:t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O diagnóstico da infecção latente por tuberculose (ILTB) evoluiu do teste tuberculínico (PT) para os ensaios de liberação de interferon-gama (IGRAs), como o QuantiFERON-TB Gold In-Tube (QFT-IT). Embora os IGRAs ofereçam melhor especificidade em populações vacinadas com BCG, seu desempenho pode ser influenciado por fatores genéticos do hospedeiro. Sabe-se que o polimorfismo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+874 A/T afeta os níveis de transcrição do gene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, sendo que o genótipo AA foi anteriormente associado à baixa produção de IFN-$\gamma$ e ao aumento da suscetibilidade à TB. Investigar como essa variação genética impacta a sensibilidade do IGRA é essencial para uma triagem precisa da ILTB em áreas endêmicas.</w:t>
      </w:r>
    </w:p>
    <w:p w:rsidR="00000000" w:rsidDel="00000000" w:rsidP="00000000" w:rsidRDefault="00000000" w:rsidRPr="00000000" w14:paraId="00000010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Resumo: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Métodos: Este estudo avaliou 202 voluntários em Salvador, Brasil, categorizados em três grupos: pacientes com TB pulmonar virgens de tratamento ($n=75$), indivíduos com PT positivo ($n=70$) e voluntários saudáveis com PT negativo ($n=57$). Todos os participantes foram testados para o genótipo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+874 A/T e submetidos ao ensaio QFT-IT para medir a produção de IFN-$\gamma$ sob diferentes condições de estimulação.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Resultados: O genótipo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+874 AA e o alelo A foram significativamente mais frequentes em pacientes com TB em comparação aos controles com PT negativo ($p=0,004$ e $p=0,001$, respectivamente). Embora indivíduos saudáveis com o genótipo AA tenham apresentado menor produção de IFN-$\gamma$ após estimulação com mitógeno (PHA), não foram observadas diferenças significativas nos níveis de IFN-$\gamma$ entre os genótipos nos grupos infectados (TB e PT+), independentemente do estímulo utilizado. A sensibilidade do teste QFT-IT foi de 90,7% e não foi significativamente influenciada pelo genótipo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+874.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line="276" w:lineRule="auto"/>
        <w:ind w:left="720" w:hanging="360"/>
        <w:rPr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Conclusão: O polimorfismo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IFNG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+874 não impacta significativamente o desempenho ou a sensibilidade do teste QuantiFERON-TB Gold In-Tube nesta população miscigenada do nordeste do Brasil.</w:t>
      </w:r>
    </w:p>
    <w:p w:rsidR="00000000" w:rsidDel="00000000" w:rsidP="00000000" w:rsidRDefault="00000000" w:rsidRPr="00000000" w14:paraId="00000014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Palavras-chave: Infecção por tuberculose; Variação genética; Sensibilidade.</w:t>
      </w:r>
    </w:p>
    <w:p w:rsidR="00000000" w:rsidDel="00000000" w:rsidP="00000000" w:rsidRDefault="00000000" w:rsidRPr="00000000" w14:paraId="00000015">
      <w:pPr>
        <w:spacing w:after="24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2b1B69YwPbO6cU+pfFikLOr9w==">CgMxLjAyDmguc2F6OWkwM3lsYWV3OAByITFmMmkxRm1QMW83TEZWeGlRUWJ5OUlUZjR6MkNVMmR4aQ==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