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2018</w:t>
      </w:r>
    </w:p>
    <w:p w:rsidR="00000000" w:rsidDel="00000000" w:rsidP="00000000" w:rsidRDefault="00000000" w:rsidRPr="00000000" w14:paraId="00000002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i8id45b58ro7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 Parsimonious Host Inflammatory Biomarker Signature Predicts Incident TB and Mortality in Advanced HIV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Background: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Sand flies bite mammalian hosts to obtain a blood meal, driving changes in the host's inflammatory response that support the establishment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infection. This effect is partially attributed to components of sand fly saliva, which are able to recruit and activate leukocytes. Heme oxygenase-1 (HO-1) is a key enzyme triggered by cellular stress that has been shown to favor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survival by reducing inflammatory responses, but its role in the early stages of vector-transmitted infection remains to be fully elucidated.</w:t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Methods: We performed histopathological analyses of skin specimens from human volunteers experimentally exposed 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Lutzomyia longipalpis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bites. These results were recapitulated in mice ears exposed to bites or injected with salivary gland sonicate (SGS). Resident skin macrophages were identified as the main source of HO-1 through flow cytometry sorting and Western blot.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Results: Exposure to sand fly bites or saliva induced robust HO-1 and Nrf2 expression at the bite sites in both humans and mice. HO-1 production peaked at 24–48h post-bite and was shown to be Nrf2-dependent. In vitro assays confirmed that saliva directly activates the ARE-Nrf2 pathway in macrophages, leading to augmented HO-1 expression.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Conclusion: Vector saliva induces early HO-1 production at bite sites, representing a major event associated with the establishment of naturally-transmitted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infections.</w:t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Lutzomyia longipalpis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; sand fly bite; saliva; skin; macrophages; heme oxygenase-1; Nrf2.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before="0" w:line="276" w:lineRule="auto"/>
        <w:rPr>
          <w:rFonts w:ascii="Arial" w:cs="Arial" w:eastAsia="Arial" w:hAnsi="Arial"/>
          <w:color w:val="0b5394"/>
          <w:sz w:val="22"/>
          <w:szCs w:val="22"/>
        </w:rPr>
      </w:pPr>
      <w:bookmarkStart w:colFirst="0" w:colLast="0" w:name="_heading=h.foodi2b3h6o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A Saliva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30"/>
          <w:szCs w:val="30"/>
          <w:rtl w:val="0"/>
        </w:rPr>
        <w:t xml:space="preserve">Lutzomyia longipalpis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 Induz a Expressão de Heme Oxigenase-1 nos Locais de Picada</w:t>
      </w:r>
    </w:p>
    <w:p w:rsidR="00000000" w:rsidDel="00000000" w:rsidP="00000000" w:rsidRDefault="00000000" w:rsidRPr="00000000" w14:paraId="00000010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Contexto:</w:t>
      </w:r>
    </w:p>
    <w:p w:rsidR="00000000" w:rsidDel="00000000" w:rsidP="00000000" w:rsidRDefault="00000000" w:rsidRPr="00000000" w14:paraId="00000012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Os flebotomíneos picam hospedeiros mamíferos para obter repasto sanguíneo, impulsionando mudanças na resposta inflamatória do hospedeiro que favorecem o estabelecimento da infecção por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. Este efeito é parcialmente atribuído a componentes da saliva do flebotomíneo, que são capazes de recrutar e ativar leucócitos. A heme oxigenase-1 (HO-1) é uma enzima chave desencadeada pelo estresse celular que demonstrou favorecer a sobrevivência da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 ao reduzir as respostas inflamatórias, mas seu papel nos estágios iniciais da infecção transmitida por vetores ainda precisa ser totalmente elucidado.</w:t>
      </w:r>
    </w:p>
    <w:p w:rsidR="00000000" w:rsidDel="00000000" w:rsidP="00000000" w:rsidRDefault="00000000" w:rsidRPr="00000000" w14:paraId="00000013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Métodos: Realizamos análises histopatológicas de espécimes de pele de voluntários humanos expostos experimentalmente a picadas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Lutzomyia longipalpis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. Esses resultados foram recapitulados em orelhas de camundongos expostos a picadas ou injetados com sonicado de glândula salivar (SGS). Macrófagos residentes da pele foram identificados como a principal fonte de HO-1 através de triagem por citometria de fluxo e Western blot.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Resultados: A exposição a picadas de flebotomíneos ou saliva induziu uma expressão robusta de HO-1 e Nrf2 nos locais da picada tanto em humanos quanto em camundongos. A produção de HO-1 atingiu o pico 24–48h após a picada e demonstrou ser dependente de Nrf2. Ensaios in vitro confirmaram que a saliva ativa diretamente a via ARE-Nrf2 em macrófagos, levando ao aumento da expressão de HO-1.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Conclusão: A saliva do vetor induz a produção precoce de HO-1 nos locais da picada, representando um evento importante associado ao estabelecimento de infecções por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 transmitidas naturalmente.</w:t>
      </w:r>
    </w:p>
    <w:p w:rsidR="00000000" w:rsidDel="00000000" w:rsidP="00000000" w:rsidRDefault="00000000" w:rsidRPr="00000000" w14:paraId="00000017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Lutzomyia longipalpis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; picada de flebotomíneo; saliva; pele; macrófagos; heme oxigenase-1; Nrf2.</w:t>
      </w:r>
    </w:p>
    <w:p w:rsidR="00000000" w:rsidDel="00000000" w:rsidP="00000000" w:rsidRDefault="00000000" w:rsidRPr="00000000" w14:paraId="00000018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jVOY0ox34XQGmBRByvmsmY2yw==">CgMxLjAyDmguaThpZDQ1YjU4cm83Mg5oLmZvb2RpMmIzaDZvZjgAciExMGhFZlFFQTUyOG85bkVtUzRaOHR4YjZSbkJZcnhiWE8=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