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2025</w:t>
      </w:r>
    </w:p>
    <w:p w:rsidR="00000000" w:rsidDel="00000000" w:rsidP="00000000" w:rsidRDefault="00000000" w:rsidRPr="00000000" w14:paraId="00000002">
      <w:pPr>
        <w:rPr>
          <w:b w:val="1"/>
          <w:bCs w:val="1"/>
          <w:sz w:val="32"/>
          <w:szCs w:val="32"/>
        </w:rPr>
      </w:pPr>
      <w:r w:rsidDel="00000000" w:rsidR="00000000" w:rsidRPr="00000000">
        <w:rPr>
          <w:rtl w:val="0"/>
        </w:rPr>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Pharmacogenetics of tuberculosis treatment toxicity and effectiveness in a large Brazilian cohort</w:t>
      </w:r>
    </w:p>
    <w:p w:rsidR="00000000" w:rsidDel="00000000" w:rsidP="00000000" w:rsidRDefault="00000000" w:rsidRPr="00000000" w14:paraId="00000004">
      <w:pPr>
        <w:rPr>
          <w:b w:val="1"/>
          <w:bCs w:val="1"/>
          <w:sz w:val="32"/>
          <w:szCs w:val="32"/>
        </w:rPr>
      </w:pPr>
      <w:r w:rsidDel="00000000" w:rsidR="00000000" w:rsidRPr="00000000">
        <w:rPr>
          <w:rtl w:val="0"/>
        </w:rPr>
      </w:r>
    </w:p>
    <w:p w:rsidR="00000000" w:rsidDel="00000000" w:rsidP="00000000" w:rsidRDefault="00000000" w:rsidRPr="00000000" w14:paraId="00000005">
      <w:pPr>
        <w:spacing w:after="240" w:lineRule="auto"/>
        <w:rPr>
          <w:b w:val="1"/>
          <w:bCs w:val="1"/>
        </w:rPr>
      </w:pPr>
      <w:r w:rsidDel="00000000" w:rsidR="00000000" w:rsidRPr="00000000">
        <w:rPr>
          <w:b w:val="1"/>
          <w:bCs w:val="1"/>
          <w:rtl w:val="0"/>
        </w:rPr>
        <w:t xml:space="preserve">Background:</w:t>
      </w:r>
    </w:p>
    <w:p w:rsidR="00000000" w:rsidDel="00000000" w:rsidP="00000000" w:rsidRDefault="00000000" w:rsidRPr="00000000" w14:paraId="00000006">
      <w:pPr>
        <w:spacing w:after="240" w:lineRule="auto"/>
        <w:rPr>
          <w:b w:val="1"/>
          <w:bCs w:val="1"/>
        </w:rPr>
      </w:pPr>
      <w:r w:rsidDel="00000000" w:rsidR="00000000" w:rsidRPr="00000000">
        <w:rPr>
          <w:b w:val="1"/>
          <w:bCs w:val="1"/>
          <w:rtl w:val="0"/>
        </w:rPr>
        <w:t xml:space="preserve">Genetic polymorphisms are known contributors to the risk of toxicity and the overall effectiveness of antitubercular therapy. Understanding these associations is crucial for optimizing treatment regimens and improving patient safety, particularly in diverse populations where drug metabolism and pharmacokinetics can vary significantly. This study aims to characterize how specific genetic variants influence adverse events and treatment outcomes among adults treated for tuberculosis (TB) in Brazil.</w:t>
      </w:r>
    </w:p>
    <w:p w:rsidR="00000000" w:rsidDel="00000000" w:rsidP="00000000" w:rsidRDefault="00000000" w:rsidRPr="00000000" w14:paraId="00000007">
      <w:pPr>
        <w:spacing w:after="240" w:lineRule="auto"/>
        <w:rPr>
          <w:b w:val="1"/>
          <w:bCs w:val="1"/>
        </w:rPr>
      </w:pPr>
      <w:r w:rsidDel="00000000" w:rsidR="00000000" w:rsidRPr="00000000">
        <w:rPr>
          <w:b w:val="1"/>
          <w:bCs w:val="1"/>
          <w:rtl w:val="0"/>
        </w:rPr>
        <w:t xml:space="preserve">Abstract:</w:t>
      </w:r>
    </w:p>
    <w:p w:rsidR="00000000" w:rsidDel="00000000" w:rsidP="00000000" w:rsidRDefault="00000000" w:rsidRPr="00000000" w14:paraId="00000008">
      <w:pPr>
        <w:numPr>
          <w:ilvl w:val="0"/>
          <w:numId w:val="1"/>
        </w:numPr>
        <w:spacing w:after="0" w:lineRule="auto"/>
        <w:ind w:left="720" w:hanging="360"/>
        <w:rPr>
          <w:b w:val="1"/>
          <w:bCs w:val="1"/>
        </w:rPr>
      </w:pPr>
      <w:r w:rsidDel="00000000" w:rsidR="00000000" w:rsidRPr="00000000">
        <w:rPr>
          <w:b w:val="1"/>
          <w:bCs w:val="1"/>
          <w:rtl w:val="0"/>
        </w:rPr>
        <w:t xml:space="preserve">Methods: This prospective observational study followed adults with culture-confirmed, drug-sensitive pulmonary TB within the RePORT-Brazil network between 2015 and 2019. Participants received a standard 6-month treatment regimen and were followed for 24 months. The analysis examined 43 polymorphisms across 20 genes related to drug pharmacokinetics or hepatotoxicity, and whole-exome sequencing was performed in a nested case-control subgroup.</w:t>
      </w:r>
    </w:p>
    <w:p w:rsidR="00000000" w:rsidDel="00000000" w:rsidP="00000000" w:rsidRDefault="00000000" w:rsidRPr="00000000" w14:paraId="00000009">
      <w:pPr>
        <w:numPr>
          <w:ilvl w:val="0"/>
          <w:numId w:val="1"/>
        </w:numPr>
        <w:spacing w:after="0" w:lineRule="auto"/>
        <w:ind w:left="720" w:hanging="360"/>
        <w:rPr>
          <w:b w:val="1"/>
          <w:bCs w:val="1"/>
        </w:rPr>
      </w:pPr>
      <w:r w:rsidDel="00000000" w:rsidR="00000000" w:rsidRPr="00000000">
        <w:rPr>
          <w:b w:val="1"/>
          <w:bCs w:val="1"/>
          <w:rtl w:val="0"/>
        </w:rPr>
        <w:t xml:space="preserve">Results: Among 903 participants, the </w:t>
      </w:r>
      <w:r w:rsidDel="00000000" w:rsidR="00000000" w:rsidRPr="00000000">
        <w:rPr>
          <w:b w:val="1"/>
          <w:bCs w:val="1"/>
          <w:i w:val="1"/>
          <w:iCs w:val="1"/>
          <w:rtl w:val="0"/>
        </w:rPr>
        <w:t xml:space="preserve">NAT2</w:t>
      </w:r>
      <w:r w:rsidDel="00000000" w:rsidR="00000000" w:rsidRPr="00000000">
        <w:rPr>
          <w:b w:val="1"/>
          <w:bCs w:val="1"/>
          <w:rtl w:val="0"/>
        </w:rPr>
        <w:t xml:space="preserve"> slow acetylator status was significantly associated with an increased risk of treatment-related adverse events of grade 2 or higher, including hepatotoxicity. A polymorphism in </w:t>
      </w:r>
      <w:r w:rsidDel="00000000" w:rsidR="00000000" w:rsidRPr="00000000">
        <w:rPr>
          <w:b w:val="1"/>
          <w:bCs w:val="1"/>
          <w:i w:val="1"/>
          <w:iCs w:val="1"/>
          <w:rtl w:val="0"/>
        </w:rPr>
        <w:t xml:space="preserve">GSTM1</w:t>
      </w:r>
      <w:r w:rsidDel="00000000" w:rsidR="00000000" w:rsidRPr="00000000">
        <w:rPr>
          <w:b w:val="1"/>
          <w:bCs w:val="1"/>
          <w:rtl w:val="0"/>
        </w:rPr>
        <w:t xml:space="preserve"> (rs412543) also correlated with increased adverse events, while </w:t>
      </w:r>
      <w:r w:rsidDel="00000000" w:rsidR="00000000" w:rsidRPr="00000000">
        <w:rPr>
          <w:b w:val="1"/>
          <w:bCs w:val="1"/>
          <w:i w:val="1"/>
          <w:iCs w:val="1"/>
          <w:rtl w:val="0"/>
        </w:rPr>
        <w:t xml:space="preserve">SLCO1B1</w:t>
      </w:r>
      <w:r w:rsidDel="00000000" w:rsidR="00000000" w:rsidRPr="00000000">
        <w:rPr>
          <w:b w:val="1"/>
          <w:bCs w:val="1"/>
          <w:rtl w:val="0"/>
        </w:rPr>
        <w:t xml:space="preserve"> variants were linked to both hepatotoxicity and treatment failure/recurrence. Conversely, </w:t>
      </w:r>
      <w:r w:rsidDel="00000000" w:rsidR="00000000" w:rsidRPr="00000000">
        <w:rPr>
          <w:b w:val="1"/>
          <w:bCs w:val="1"/>
          <w:i w:val="1"/>
          <w:iCs w:val="1"/>
          <w:rtl w:val="0"/>
        </w:rPr>
        <w:t xml:space="preserve">NR1I2</w:t>
      </w:r>
      <w:r w:rsidDel="00000000" w:rsidR="00000000" w:rsidRPr="00000000">
        <w:rPr>
          <w:b w:val="1"/>
          <w:bCs w:val="1"/>
          <w:rtl w:val="0"/>
        </w:rPr>
        <w:t xml:space="preserve"> polymorphisms were associated with a reduced risk of adverse events but an increased risk of treatment failure. While </w:t>
      </w:r>
      <w:r w:rsidDel="00000000" w:rsidR="00000000" w:rsidRPr="00000000">
        <w:rPr>
          <w:b w:val="1"/>
          <w:bCs w:val="1"/>
          <w:i w:val="1"/>
          <w:iCs w:val="1"/>
          <w:rtl w:val="0"/>
        </w:rPr>
        <w:t xml:space="preserve">NAT2</w:t>
      </w:r>
      <w:r w:rsidDel="00000000" w:rsidR="00000000" w:rsidRPr="00000000">
        <w:rPr>
          <w:b w:val="1"/>
          <w:bCs w:val="1"/>
          <w:rtl w:val="0"/>
        </w:rPr>
        <w:t xml:space="preserve"> rapid acetylators were more likely to experience treatment failure or recurrence, this result did not reach statistical significance.</w:t>
      </w:r>
    </w:p>
    <w:p w:rsidR="00000000" w:rsidDel="00000000" w:rsidP="00000000" w:rsidRDefault="00000000" w:rsidRPr="00000000" w14:paraId="0000000A">
      <w:pPr>
        <w:numPr>
          <w:ilvl w:val="0"/>
          <w:numId w:val="1"/>
        </w:numPr>
        <w:spacing w:after="240" w:lineRule="auto"/>
        <w:ind w:left="720" w:hanging="360"/>
        <w:rPr>
          <w:b w:val="1"/>
          <w:bCs w:val="1"/>
        </w:rPr>
      </w:pPr>
      <w:r w:rsidDel="00000000" w:rsidR="00000000" w:rsidRPr="00000000">
        <w:rPr>
          <w:b w:val="1"/>
          <w:bCs w:val="1"/>
          <w:rtl w:val="0"/>
        </w:rPr>
        <w:t xml:space="preserve">Conclusion: In a clinical cohort representative of three Brazilian regions, </w:t>
      </w:r>
      <w:r w:rsidDel="00000000" w:rsidR="00000000" w:rsidRPr="00000000">
        <w:rPr>
          <w:b w:val="1"/>
          <w:bCs w:val="1"/>
          <w:i w:val="1"/>
          <w:iCs w:val="1"/>
          <w:rtl w:val="0"/>
        </w:rPr>
        <w:t xml:space="preserve">NAT2</w:t>
      </w:r>
      <w:r w:rsidDel="00000000" w:rsidR="00000000" w:rsidRPr="00000000">
        <w:rPr>
          <w:b w:val="1"/>
          <w:bCs w:val="1"/>
          <w:rtl w:val="0"/>
        </w:rPr>
        <w:t xml:space="preserve"> acetylator status is a key predictor of treatment-related toxicity. These findings underscore the potential for pharmacogenetic screening to improve TB care, though further investigation in larger populations is warranted for other identified polymorphisms.</w:t>
      </w:r>
    </w:p>
    <w:p w:rsidR="00000000" w:rsidDel="00000000" w:rsidP="00000000" w:rsidRDefault="00000000" w:rsidRPr="00000000" w14:paraId="0000000B">
      <w:pPr>
        <w:spacing w:after="240" w:lineRule="auto"/>
        <w:rPr>
          <w:b w:val="1"/>
          <w:bCs w:val="1"/>
        </w:rPr>
      </w:pPr>
      <w:r w:rsidDel="00000000" w:rsidR="00000000" w:rsidRPr="00000000">
        <w:rPr>
          <w:b w:val="1"/>
          <w:bCs w:val="1"/>
          <w:rtl w:val="0"/>
        </w:rPr>
        <w:t xml:space="preserve">Keywords: Tuberculosis, Pharmacogenetics, </w:t>
      </w:r>
      <w:r w:rsidDel="00000000" w:rsidR="00000000" w:rsidRPr="00000000">
        <w:rPr>
          <w:b w:val="1"/>
          <w:bCs w:val="1"/>
          <w:i w:val="1"/>
          <w:iCs w:val="1"/>
          <w:rtl w:val="0"/>
        </w:rPr>
        <w:t xml:space="preserve">NAT2</w:t>
      </w:r>
      <w:r w:rsidDel="00000000" w:rsidR="00000000" w:rsidRPr="00000000">
        <w:rPr>
          <w:b w:val="1"/>
          <w:bCs w:val="1"/>
          <w:rtl w:val="0"/>
        </w:rPr>
        <w:t xml:space="preserve">, Hepatotoxicity, Treatment Outcome, Adverse Events.</w:t>
      </w:r>
    </w:p>
    <w:p w:rsidR="00000000" w:rsidDel="00000000" w:rsidP="00000000" w:rsidRDefault="00000000" w:rsidRPr="00000000" w14:paraId="0000000C">
      <w:pPr>
        <w:spacing w:after="240" w:lineRule="auto"/>
        <w:rPr>
          <w:b w:val="1"/>
          <w:bCs w:val="1"/>
          <w:sz w:val="28"/>
          <w:szCs w:val="28"/>
        </w:rPr>
      </w:pPr>
      <w:r w:rsidDel="00000000" w:rsidR="00000000" w:rsidRPr="00000000">
        <w:rPr>
          <w:rtl w:val="0"/>
        </w:rPr>
      </w:r>
    </w:p>
    <w:p w:rsidR="00000000" w:rsidDel="00000000" w:rsidP="00000000" w:rsidRDefault="00000000" w:rsidRPr="00000000" w14:paraId="0000000D">
      <w:pPr>
        <w:spacing w:after="240" w:lineRule="auto"/>
        <w:rPr>
          <w:b w:val="1"/>
          <w:bCs w:val="1"/>
          <w:sz w:val="28"/>
          <w:szCs w:val="28"/>
        </w:rPr>
      </w:pPr>
      <w:r w:rsidDel="00000000" w:rsidR="00000000" w:rsidRPr="00000000">
        <w:rPr>
          <w:rtl w:val="0"/>
        </w:rPr>
      </w:r>
    </w:p>
    <w:p w:rsidR="00000000" w:rsidDel="00000000" w:rsidP="00000000" w:rsidRDefault="00000000" w:rsidRPr="00000000" w14:paraId="0000000E">
      <w:pPr>
        <w:spacing w:after="240" w:lineRule="auto"/>
        <w:rPr>
          <w:b w:val="1"/>
          <w:bCs w:val="1"/>
          <w:sz w:val="28"/>
          <w:szCs w:val="28"/>
        </w:rPr>
      </w:pPr>
      <w:r w:rsidDel="00000000" w:rsidR="00000000" w:rsidRPr="00000000">
        <w:rPr>
          <w:rtl w:val="0"/>
        </w:rPr>
      </w:r>
    </w:p>
    <w:p w:rsidR="00000000" w:rsidDel="00000000" w:rsidP="00000000" w:rsidRDefault="00000000" w:rsidRPr="00000000" w14:paraId="0000000F">
      <w:pPr>
        <w:spacing w:after="240" w:lineRule="auto"/>
        <w:rPr>
          <w:b w:val="1"/>
          <w:bCs w:val="1"/>
          <w:sz w:val="28"/>
          <w:szCs w:val="28"/>
        </w:rPr>
      </w:pPr>
      <w:r w:rsidDel="00000000" w:rsidR="00000000" w:rsidRPr="00000000">
        <w:rPr>
          <w:rtl w:val="0"/>
        </w:rPr>
      </w:r>
    </w:p>
    <w:p w:rsidR="00000000" w:rsidDel="00000000" w:rsidP="00000000" w:rsidRDefault="00000000" w:rsidRPr="00000000" w14:paraId="00000010">
      <w:pPr>
        <w:pStyle w:val="Heading4"/>
        <w:keepNext w:val="0"/>
        <w:keepLines w:val="0"/>
        <w:spacing w:after="40" w:before="0" w:lineRule="auto"/>
        <w:rPr>
          <w:b w:val="1"/>
          <w:bCs w:val="1"/>
          <w:color w:val="000000"/>
          <w:sz w:val="22"/>
          <w:szCs w:val="22"/>
        </w:rPr>
      </w:pPr>
      <w:bookmarkStart w:colFirst="0" w:colLast="0" w:name="_heading=h.p23bunc8gkuf" w:id="0"/>
      <w:bookmarkEnd w:id="0"/>
      <w:r w:rsidDel="00000000" w:rsidR="00000000" w:rsidRPr="00000000">
        <w:rPr>
          <w:rtl w:val="0"/>
        </w:rPr>
      </w:r>
    </w:p>
    <w:p w:rsidR="00000000" w:rsidDel="00000000" w:rsidP="00000000" w:rsidRDefault="00000000" w:rsidRPr="00000000" w14:paraId="00000011">
      <w:pPr>
        <w:spacing w:after="240" w:lineRule="auto"/>
        <w:rPr>
          <w:b w:val="1"/>
          <w:bCs w:val="1"/>
          <w:sz w:val="32"/>
          <w:szCs w:val="32"/>
        </w:rPr>
      </w:pPr>
      <w:r w:rsidDel="00000000" w:rsidR="00000000" w:rsidRPr="00000000">
        <w:rPr>
          <w:b w:val="1"/>
          <w:bCs w:val="1"/>
          <w:sz w:val="32"/>
          <w:szCs w:val="32"/>
          <w:rtl w:val="0"/>
        </w:rPr>
        <w:t xml:space="preserve">Farmacogenética da toxicidade e eficácia do tratamento da tuberculose em uma grande coorte brasileira</w:t>
      </w:r>
    </w:p>
    <w:p w:rsidR="00000000" w:rsidDel="00000000" w:rsidP="00000000" w:rsidRDefault="00000000" w:rsidRPr="00000000" w14:paraId="00000012">
      <w:pPr>
        <w:spacing w:after="240" w:lineRule="auto"/>
        <w:rPr>
          <w:b w:val="1"/>
          <w:bCs w:val="1"/>
          <w:sz w:val="32"/>
          <w:szCs w:val="32"/>
        </w:rPr>
      </w:pPr>
      <w:r w:rsidDel="00000000" w:rsidR="00000000" w:rsidRPr="00000000">
        <w:rPr>
          <w:rtl w:val="0"/>
        </w:rPr>
      </w:r>
    </w:p>
    <w:p w:rsidR="00000000" w:rsidDel="00000000" w:rsidP="00000000" w:rsidRDefault="00000000" w:rsidRPr="00000000" w14:paraId="00000013">
      <w:pPr>
        <w:spacing w:after="240" w:lineRule="auto"/>
        <w:rPr>
          <w:b w:val="1"/>
          <w:bCs w:val="1"/>
          <w:color w:val="0b5394"/>
        </w:rPr>
      </w:pPr>
      <w:r w:rsidDel="00000000" w:rsidR="00000000" w:rsidRPr="00000000">
        <w:rPr>
          <w:b w:val="1"/>
          <w:bCs w:val="1"/>
          <w:color w:val="0b5394"/>
          <w:rtl w:val="0"/>
        </w:rPr>
        <w:t xml:space="preserve">Contexto:</w:t>
      </w:r>
    </w:p>
    <w:p w:rsidR="00000000" w:rsidDel="00000000" w:rsidP="00000000" w:rsidRDefault="00000000" w:rsidRPr="00000000" w14:paraId="00000014">
      <w:pPr>
        <w:spacing w:after="240" w:lineRule="auto"/>
        <w:rPr>
          <w:b w:val="1"/>
          <w:bCs w:val="1"/>
          <w:color w:val="0b5394"/>
        </w:rPr>
      </w:pPr>
      <w:r w:rsidDel="00000000" w:rsidR="00000000" w:rsidRPr="00000000">
        <w:rPr>
          <w:b w:val="1"/>
          <w:bCs w:val="1"/>
          <w:color w:val="0b5394"/>
          <w:rtl w:val="0"/>
        </w:rPr>
        <w:t xml:space="preserve">Sabe-se que polimorfismos genéticos contribuem para o risco de toxicidade e para a eficácia geral da terapia antituberculosa. Compreender essas associações é crucial para otimizar os regimes de tratamento e melhorar a segurança do paciente, particularmente em populações diversas onde o metabolismo e a farmacocinética dos medicamentos podem variar significativamente. Este estudo visa caracterizar como variantes genéticas específicas influenciam eventos adversos e desfechos de tratamento em adultos tratados para tuberculose (TB) no Brasil.</w:t>
      </w:r>
    </w:p>
    <w:p w:rsidR="00000000" w:rsidDel="00000000" w:rsidP="00000000" w:rsidRDefault="00000000" w:rsidRPr="00000000" w14:paraId="00000015">
      <w:pPr>
        <w:spacing w:after="240" w:lineRule="auto"/>
        <w:rPr>
          <w:b w:val="1"/>
          <w:bCs w:val="1"/>
          <w:color w:val="0b5394"/>
        </w:rPr>
      </w:pPr>
      <w:r w:rsidDel="00000000" w:rsidR="00000000" w:rsidRPr="00000000">
        <w:rPr>
          <w:b w:val="1"/>
          <w:bCs w:val="1"/>
          <w:color w:val="0b5394"/>
          <w:rtl w:val="0"/>
        </w:rPr>
        <w:t xml:space="preserve">Resumo:</w:t>
      </w:r>
    </w:p>
    <w:p w:rsidR="00000000" w:rsidDel="00000000" w:rsidP="00000000" w:rsidRDefault="00000000" w:rsidRPr="00000000" w14:paraId="00000016">
      <w:pPr>
        <w:numPr>
          <w:ilvl w:val="0"/>
          <w:numId w:val="2"/>
        </w:numPr>
        <w:spacing w:after="0" w:lineRule="auto"/>
        <w:ind w:left="720" w:hanging="360"/>
        <w:rPr>
          <w:b w:val="1"/>
          <w:bCs w:val="1"/>
          <w:color w:val="0b5394"/>
        </w:rPr>
      </w:pPr>
      <w:r w:rsidDel="00000000" w:rsidR="00000000" w:rsidRPr="00000000">
        <w:rPr>
          <w:b w:val="1"/>
          <w:bCs w:val="1"/>
          <w:color w:val="0b5394"/>
          <w:rtl w:val="0"/>
        </w:rPr>
        <w:t xml:space="preserve">Métodos: Este estudo observacional prospectivo acompanhou adultos com TB pulmonar sensível a medicamentos e confirmada por cultura na rede RePORT-Brasil entre 2015 e 2019. Os participantes receberam um regime padrão de tratamento de 6 meses e foram acompanhados por 24 meses. A análise examinou 43 polimorfismos em 20 genes relacionados à farmacocinética ou hepatotoxicidade, e o sequenciamento completo do exoma foi realizado em um subgrupo caso-controle de toxicidade.</w:t>
      </w:r>
    </w:p>
    <w:p w:rsidR="00000000" w:rsidDel="00000000" w:rsidP="00000000" w:rsidRDefault="00000000" w:rsidRPr="00000000" w14:paraId="00000017">
      <w:pPr>
        <w:numPr>
          <w:ilvl w:val="0"/>
          <w:numId w:val="2"/>
        </w:numPr>
        <w:spacing w:after="0" w:lineRule="auto"/>
        <w:ind w:left="720" w:hanging="360"/>
        <w:rPr>
          <w:b w:val="1"/>
          <w:bCs w:val="1"/>
          <w:color w:val="0b5394"/>
        </w:rPr>
      </w:pPr>
      <w:r w:rsidDel="00000000" w:rsidR="00000000" w:rsidRPr="00000000">
        <w:rPr>
          <w:b w:val="1"/>
          <w:bCs w:val="1"/>
          <w:color w:val="0b5394"/>
          <w:rtl w:val="0"/>
        </w:rPr>
        <w:t xml:space="preserve">Resultados: Entre 903 participantes, o status de acetilador lento de </w:t>
      </w:r>
      <w:r w:rsidDel="00000000" w:rsidR="00000000" w:rsidRPr="00000000">
        <w:rPr>
          <w:b w:val="1"/>
          <w:bCs w:val="1"/>
          <w:i w:val="1"/>
          <w:iCs w:val="1"/>
          <w:color w:val="0b5394"/>
          <w:rtl w:val="0"/>
        </w:rPr>
        <w:t xml:space="preserve">NAT2</w:t>
      </w:r>
      <w:r w:rsidDel="00000000" w:rsidR="00000000" w:rsidRPr="00000000">
        <w:rPr>
          <w:b w:val="1"/>
          <w:bCs w:val="1"/>
          <w:color w:val="0b5394"/>
          <w:rtl w:val="0"/>
        </w:rPr>
        <w:t xml:space="preserve"> foi significativamente associado a um risco aumentado de eventos adversos relacionados ao tratamento de grau 2 ou superior, incluindo hepatotoxicidade. Um polimorfismo em </w:t>
      </w:r>
      <w:r w:rsidDel="00000000" w:rsidR="00000000" w:rsidRPr="00000000">
        <w:rPr>
          <w:b w:val="1"/>
          <w:bCs w:val="1"/>
          <w:i w:val="1"/>
          <w:iCs w:val="1"/>
          <w:color w:val="0b5394"/>
          <w:rtl w:val="0"/>
        </w:rPr>
        <w:t xml:space="preserve">GSTM1</w:t>
      </w:r>
      <w:r w:rsidDel="00000000" w:rsidR="00000000" w:rsidRPr="00000000">
        <w:rPr>
          <w:b w:val="1"/>
          <w:bCs w:val="1"/>
          <w:color w:val="0b5394"/>
          <w:rtl w:val="0"/>
        </w:rPr>
        <w:t xml:space="preserve"> (rs412543) também se correlacionou com o aumento de eventos adversos, enquanto variantes em </w:t>
      </w:r>
      <w:r w:rsidDel="00000000" w:rsidR="00000000" w:rsidRPr="00000000">
        <w:rPr>
          <w:b w:val="1"/>
          <w:bCs w:val="1"/>
          <w:i w:val="1"/>
          <w:iCs w:val="1"/>
          <w:color w:val="0b5394"/>
          <w:rtl w:val="0"/>
        </w:rPr>
        <w:t xml:space="preserve">SLCO1B1</w:t>
      </w:r>
      <w:r w:rsidDel="00000000" w:rsidR="00000000" w:rsidRPr="00000000">
        <w:rPr>
          <w:b w:val="1"/>
          <w:bCs w:val="1"/>
          <w:color w:val="0b5394"/>
          <w:rtl w:val="0"/>
        </w:rPr>
        <w:t xml:space="preserve"> foram ligadas tanto à hepatotoxicidade quanto à falha/recorrência do tratamento. Por outro lado, polimorfismos em </w:t>
      </w:r>
      <w:r w:rsidDel="00000000" w:rsidR="00000000" w:rsidRPr="00000000">
        <w:rPr>
          <w:b w:val="1"/>
          <w:bCs w:val="1"/>
          <w:i w:val="1"/>
          <w:iCs w:val="1"/>
          <w:color w:val="0b5394"/>
          <w:rtl w:val="0"/>
        </w:rPr>
        <w:t xml:space="preserve">NR1I2</w:t>
      </w:r>
      <w:r w:rsidDel="00000000" w:rsidR="00000000" w:rsidRPr="00000000">
        <w:rPr>
          <w:b w:val="1"/>
          <w:bCs w:val="1"/>
          <w:color w:val="0b5394"/>
          <w:rtl w:val="0"/>
        </w:rPr>
        <w:t xml:space="preserve"> foram associados a um risco reduzido de eventos adversos, mas a um risco aumentado de falha no tratamento. Embora os acetiladores rápidos de </w:t>
      </w:r>
      <w:r w:rsidDel="00000000" w:rsidR="00000000" w:rsidRPr="00000000">
        <w:rPr>
          <w:b w:val="1"/>
          <w:bCs w:val="1"/>
          <w:i w:val="1"/>
          <w:iCs w:val="1"/>
          <w:color w:val="0b5394"/>
          <w:rtl w:val="0"/>
        </w:rPr>
        <w:t xml:space="preserve">NAT2</w:t>
      </w:r>
      <w:r w:rsidDel="00000000" w:rsidR="00000000" w:rsidRPr="00000000">
        <w:rPr>
          <w:b w:val="1"/>
          <w:bCs w:val="1"/>
          <w:color w:val="0b5394"/>
          <w:rtl w:val="0"/>
        </w:rPr>
        <w:t xml:space="preserve"> tenham tido maior probabilidade de falha ou recorrência, este resultado não atingiu significância estatística.</w:t>
      </w:r>
    </w:p>
    <w:p w:rsidR="00000000" w:rsidDel="00000000" w:rsidP="00000000" w:rsidRDefault="00000000" w:rsidRPr="00000000" w14:paraId="00000018">
      <w:pPr>
        <w:numPr>
          <w:ilvl w:val="0"/>
          <w:numId w:val="2"/>
        </w:numPr>
        <w:spacing w:after="240" w:lineRule="auto"/>
        <w:ind w:left="720" w:hanging="360"/>
        <w:rPr>
          <w:b w:val="1"/>
          <w:bCs w:val="1"/>
          <w:color w:val="0b5394"/>
        </w:rPr>
      </w:pPr>
      <w:r w:rsidDel="00000000" w:rsidR="00000000" w:rsidRPr="00000000">
        <w:rPr>
          <w:b w:val="1"/>
          <w:bCs w:val="1"/>
          <w:color w:val="0b5394"/>
          <w:rtl w:val="0"/>
        </w:rPr>
        <w:t xml:space="preserve">Conclusão: Em uma coorte clínica representativa de três regiões brasileiras, o status de acetilador de </w:t>
      </w:r>
      <w:r w:rsidDel="00000000" w:rsidR="00000000" w:rsidRPr="00000000">
        <w:rPr>
          <w:b w:val="1"/>
          <w:bCs w:val="1"/>
          <w:i w:val="1"/>
          <w:iCs w:val="1"/>
          <w:color w:val="0b5394"/>
          <w:rtl w:val="0"/>
        </w:rPr>
        <w:t xml:space="preserve">NAT2</w:t>
      </w:r>
      <w:r w:rsidDel="00000000" w:rsidR="00000000" w:rsidRPr="00000000">
        <w:rPr>
          <w:b w:val="1"/>
          <w:bCs w:val="1"/>
          <w:color w:val="0b5394"/>
          <w:rtl w:val="0"/>
        </w:rPr>
        <w:t xml:space="preserve"> é um preditor fundamental da toxicidade relacionada ao tratamento. Esses achados reforçam o potencial da triagem farmacogenética para melhorar o cuidado da TB, embora investigações adicionais em populações maiores sejam necessárias para os outros polimorfismos identificados.</w:t>
      </w:r>
    </w:p>
    <w:p w:rsidR="00000000" w:rsidDel="00000000" w:rsidP="00000000" w:rsidRDefault="00000000" w:rsidRPr="00000000" w14:paraId="00000019">
      <w:pPr>
        <w:spacing w:after="240" w:lineRule="auto"/>
        <w:rPr>
          <w:b w:val="1"/>
          <w:bCs w:val="1"/>
          <w:color w:val="0b5394"/>
        </w:rPr>
      </w:pPr>
      <w:r w:rsidDel="00000000" w:rsidR="00000000" w:rsidRPr="00000000">
        <w:rPr>
          <w:b w:val="1"/>
          <w:bCs w:val="1"/>
          <w:color w:val="0b5394"/>
          <w:rtl w:val="0"/>
        </w:rPr>
        <w:t xml:space="preserve">Palavras-chave: Tuberculose, Farmacogenética, </w:t>
      </w:r>
      <w:r w:rsidDel="00000000" w:rsidR="00000000" w:rsidRPr="00000000">
        <w:rPr>
          <w:b w:val="1"/>
          <w:bCs w:val="1"/>
          <w:i w:val="1"/>
          <w:iCs w:val="1"/>
          <w:color w:val="0b5394"/>
          <w:rtl w:val="0"/>
        </w:rPr>
        <w:t xml:space="preserve">NAT2</w:t>
      </w:r>
      <w:r w:rsidDel="00000000" w:rsidR="00000000" w:rsidRPr="00000000">
        <w:rPr>
          <w:b w:val="1"/>
          <w:bCs w:val="1"/>
          <w:color w:val="0b5394"/>
          <w:rtl w:val="0"/>
        </w:rPr>
        <w:t xml:space="preserve">, Hepatotoxicidade, Desfecho do Tratamento, Eventos Adversos.</w:t>
      </w:r>
    </w:p>
    <w:p w:rsidR="00000000" w:rsidDel="00000000" w:rsidP="00000000" w:rsidRDefault="00000000" w:rsidRPr="00000000" w14:paraId="0000001A">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11Pvapyq0mZCS65fckX+P/ts4g==">CgMxLjAyDmgucDIzYnVuYzhna3VmOAByITFOdUx6YzJhb0tfcGxXcUI0aDZUVUNtWkdIRFdfTmQweQ==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