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Distinct inflammatory profile underlies pathological increases in creatinine levels associated with Plasmodium vivax malaria clinical severity</w:t>
      </w:r>
    </w:p>
    <w:p w:rsidR="00000000" w:rsidDel="00000000" w:rsidP="00000000" w:rsidRDefault="00000000" w:rsidRPr="00000000" w14:paraId="00000003">
      <w:pPr>
        <w:spacing w:after="240" w:line="276"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malaria is a major public health challenge, and although once considered "benign," it is increasingly associated with severe clinical complications, including acute kidney injury (AKI). Serum creatinine is the standard biomarker for assessing renal function, but its relationship with the systemic inflammatory response during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infection is not fully characterized. Understanding the immune signatures associated with renal dysfunction is crucial for identifying patients at higher risk of severe disease.</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7">
      <w:pPr>
        <w:numPr>
          <w:ilvl w:val="0"/>
          <w:numId w:val="1"/>
        </w:numPr>
        <w:spacing w:after="0" w:line="276" w:lineRule="auto"/>
        <w:ind w:left="720" w:hanging="360"/>
        <w:rPr>
          <w:b w:val="1"/>
          <w:bCs w:val="1"/>
        </w:rPr>
      </w:pPr>
      <w:r w:rsidDel="00000000" w:rsidR="00000000" w:rsidRPr="00000000">
        <w:rPr>
          <w:rFonts w:ascii="Arial" w:cs="Arial" w:eastAsia="Arial" w:hAnsi="Arial"/>
          <w:b w:val="1"/>
          <w:bCs w:val="1"/>
          <w:rtl w:val="0"/>
        </w:rPr>
        <w:t xml:space="preserve">Methods: We performed a large-scale analysis of clinical and inflammatory data from 410 individuals (305 with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malaria and 105 healthy controls) in the Brazilian Amazon. We evaluated the correlation between serum creatinine levels and a panel of 15 plasma biomarkers (cytokines, chemokines, and lipids) using multidimensional statistical approaches.</w:t>
      </w: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720" w:hanging="360"/>
        <w:rPr>
          <w:b w:val="1"/>
          <w:bCs w:val="1"/>
        </w:rPr>
      </w:pPr>
      <w:r w:rsidDel="00000000" w:rsidR="00000000" w:rsidRPr="00000000">
        <w:rPr>
          <w:rFonts w:ascii="Arial" w:cs="Arial" w:eastAsia="Arial" w:hAnsi="Arial"/>
          <w:b w:val="1"/>
          <w:bCs w:val="1"/>
          <w:rtl w:val="0"/>
        </w:rPr>
        <w:t xml:space="preserve">Results: Patients with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malaria showed a significant increase in creatinine levels compared to controls, which correlated with overall parasite burden. A distinct inflammatory profile was associated with elevated creatinine, characterized by high levels of IL-6, IL-10, IFN-$\gamma$, and IL-1Ra, alongside reduced levels of lipid mediators like LTB$_4$. Interestingly, the molecular degree of perturbation (MDP) in the inflammatory profile was significantly higher in patients with abnormal creatinine levels, regardless of other severity criteria.</w:t>
      </w:r>
      <w:r w:rsidDel="00000000" w:rsidR="00000000" w:rsidRPr="00000000">
        <w:rPr>
          <w:rtl w:val="0"/>
        </w:rPr>
      </w:r>
    </w:p>
    <w:p w:rsidR="00000000" w:rsidDel="00000000" w:rsidP="00000000" w:rsidRDefault="00000000" w:rsidRPr="00000000" w14:paraId="00000009">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Pathological increases in creatinine during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malaria are driven by a specific "cytokine storm" involving both pro- and anti-inflammatory mediators. This immune signature can help distinguish patients with renal involvement and underscores the systemic nature of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-induced organ dysfunction.</w:t>
      </w:r>
      <w:r w:rsidDel="00000000" w:rsidR="00000000" w:rsidRPr="00000000">
        <w:rPr>
          <w:rtl w:val="0"/>
        </w:rPr>
      </w:r>
    </w:p>
    <w:p w:rsidR="00000000" w:rsidDel="00000000" w:rsidP="00000000" w:rsidRDefault="00000000" w:rsidRPr="00000000" w14:paraId="0000000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w:t>
      </w: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Malaria; Creatinine; Inflammation; Cytokines; Acute Kidney Injury.</w:t>
      </w:r>
    </w:p>
    <w:p w:rsidR="00000000" w:rsidDel="00000000" w:rsidP="00000000" w:rsidRDefault="00000000" w:rsidRPr="00000000" w14:paraId="0000000B">
      <w:pPr>
        <w:spacing w:after="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spacing w:after="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i w:val="1"/>
          <w:iCs w:val="1"/>
          <w:color w:val="0b5394"/>
          <w:sz w:val="30"/>
          <w:szCs w:val="30"/>
        </w:rPr>
      </w:pPr>
      <w:r w:rsidDel="00000000" w:rsidR="00000000" w:rsidRPr="00000000">
        <w:rPr>
          <w:rFonts w:ascii="Arial" w:cs="Arial" w:eastAsia="Arial" w:hAnsi="Arial"/>
          <w:b w:val="1"/>
          <w:bCs w:val="1"/>
          <w:color w:val="0b5394"/>
          <w:sz w:val="30"/>
          <w:szCs w:val="30"/>
          <w:rtl w:val="0"/>
        </w:rPr>
        <w:t xml:space="preserve">Perfil inflamatório distinto fundamenta aumentos patológicos nos níveis de creatinina associados à gravidade clínica da malária por </w:t>
      </w:r>
      <w:r w:rsidDel="00000000" w:rsidR="00000000" w:rsidRPr="00000000">
        <w:rPr>
          <w:rFonts w:ascii="Arial" w:cs="Arial" w:eastAsia="Arial" w:hAnsi="Arial"/>
          <w:b w:val="1"/>
          <w:bCs w:val="1"/>
          <w:i w:val="1"/>
          <w:iCs w:val="1"/>
          <w:color w:val="0b5394"/>
          <w:sz w:val="30"/>
          <w:szCs w:val="30"/>
          <w:rtl w:val="0"/>
        </w:rPr>
        <w:t xml:space="preserve">Plasmodium vivax</w:t>
      </w:r>
    </w:p>
    <w:p w:rsidR="00000000" w:rsidDel="00000000" w:rsidP="00000000" w:rsidRDefault="00000000" w:rsidRPr="00000000" w14:paraId="0000000E">
      <w:pPr>
        <w:spacing w:after="240" w:line="276" w:lineRule="auto"/>
        <w:rPr>
          <w:rFonts w:ascii="Arial" w:cs="Arial" w:eastAsia="Arial" w:hAnsi="Arial"/>
          <w:b w:val="1"/>
          <w:bCs w:val="1"/>
          <w:i w:val="1"/>
          <w:iCs w:val="1"/>
          <w:color w:val="0b5394"/>
          <w:sz w:val="30"/>
          <w:szCs w:val="30"/>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Contexto:</w:t>
      </w:r>
    </w:p>
    <w:p w:rsidR="00000000" w:rsidDel="00000000" w:rsidP="00000000" w:rsidRDefault="00000000" w:rsidRPr="00000000" w14:paraId="00000010">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 malária por </w:t>
      </w: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é um grande desafio de saúde pública e, embora anteriormente considerada "benigna", está cada vez mais associada a complicações clínicas graves, incluindo a lesão renal aguda (LRA). A creatinina sérica é o biomarcador padrão para avaliar a função renal, mas sua relação com a resposta inflamatória sistêmica durante a infecção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não está totalmente caracterizada. Compreender as assinaturas imunológicas associadas à disfunção renal é crucial para identificar pacientes com maior risco de doença grave.</w:t>
      </w:r>
    </w:p>
    <w:p w:rsidR="00000000" w:rsidDel="00000000" w:rsidP="00000000" w:rsidRDefault="00000000" w:rsidRPr="00000000" w14:paraId="00000011">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Resumo :</w:t>
      </w:r>
    </w:p>
    <w:p w:rsidR="00000000" w:rsidDel="00000000" w:rsidP="00000000" w:rsidRDefault="00000000" w:rsidRPr="00000000" w14:paraId="00000012">
      <w:pPr>
        <w:numPr>
          <w:ilvl w:val="0"/>
          <w:numId w:val="2"/>
        </w:numPr>
        <w:spacing w:after="0" w:line="276" w:lineRule="auto"/>
        <w:ind w:left="720" w:hanging="360"/>
        <w:rPr>
          <w:b w:val="1"/>
          <w:bCs w:val="1"/>
        </w:rPr>
      </w:pPr>
      <w:r w:rsidDel="00000000" w:rsidR="00000000" w:rsidRPr="00000000">
        <w:rPr>
          <w:rFonts w:ascii="Arial" w:cs="Arial" w:eastAsia="Arial" w:hAnsi="Arial"/>
          <w:b w:val="1"/>
          <w:bCs w:val="1"/>
          <w:rtl w:val="0"/>
        </w:rPr>
        <w:t xml:space="preserve">Métodos: Realizamos uma análise em larga escala de dados clínicos e inflamatórios de 410 indivíduos (305 com malária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e 105 controles saudáveis) na Amazônia Brasileira. Avaliamos a correlação entre os níveis de creatinina sérica e um painel de 15 biomarcadores plasmáticos (citocinas, quimiocinas e lipídios) utilizando abordagens estatísticas multidimensionais.</w:t>
      </w:r>
      <w:r w:rsidDel="00000000" w:rsidR="00000000" w:rsidRPr="00000000">
        <w:rPr>
          <w:rtl w:val="0"/>
        </w:rPr>
      </w:r>
    </w:p>
    <w:p w:rsidR="00000000" w:rsidDel="00000000" w:rsidP="00000000" w:rsidRDefault="00000000" w:rsidRPr="00000000" w14:paraId="00000013">
      <w:pPr>
        <w:numPr>
          <w:ilvl w:val="0"/>
          <w:numId w:val="2"/>
        </w:numPr>
        <w:spacing w:after="0" w:line="276" w:lineRule="auto"/>
        <w:ind w:left="720" w:hanging="360"/>
        <w:rPr>
          <w:b w:val="1"/>
          <w:bCs w:val="1"/>
        </w:rPr>
      </w:pPr>
      <w:r w:rsidDel="00000000" w:rsidR="00000000" w:rsidRPr="00000000">
        <w:rPr>
          <w:rFonts w:ascii="Arial" w:cs="Arial" w:eastAsia="Arial" w:hAnsi="Arial"/>
          <w:b w:val="1"/>
          <w:bCs w:val="1"/>
          <w:rtl w:val="0"/>
        </w:rPr>
        <w:t xml:space="preserve">Resultados: Pacientes com malária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apresentaram um aumento significativo nos níveis de creatinina em comparação aos controles, o qual correlacionou-se com a carga parasitária total. Um perfil inflamatório distinto foi associado à creatinina elevada, caracterizado por altos níveis de IL-6, IL-10, IFN-$\gamma$ e IL-1Ra, além de níveis reduzidos de mediadores lipídicos como LTB$_4$. Curiosamente, o grau de perturbação molecular (MDP) no perfil inflamatório foi significativamente maior em pacientes com níveis anormais de creatinina, independentemente de outros critérios de gravidade.</w:t>
      </w:r>
      <w:r w:rsidDel="00000000" w:rsidR="00000000" w:rsidRPr="00000000">
        <w:rPr>
          <w:rtl w:val="0"/>
        </w:rPr>
      </w:r>
    </w:p>
    <w:p w:rsidR="00000000" w:rsidDel="00000000" w:rsidP="00000000" w:rsidRDefault="00000000" w:rsidRPr="00000000" w14:paraId="00000014">
      <w:pPr>
        <w:numPr>
          <w:ilvl w:val="0"/>
          <w:numId w:val="2"/>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Conclusão: Aumentos patológicos na creatinina durante a malária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são impulsionados por uma "tempestade de citocinas" específica, envolvendo mediadores pró e anti-inflamatórios. Esta assinatura imunológica pode ajudar a distinguir pacientes com comprometimento renal e reforça a natureza sistêmica da disfunção orgânica induzida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1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Palavras-chave: </w:t>
      </w: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Malária; Creatinina; Inflamação; Citocinas; Lesão Renal Aguda.</w:t>
      </w:r>
    </w:p>
    <w:p w:rsidR="00000000" w:rsidDel="00000000" w:rsidP="00000000" w:rsidRDefault="00000000" w:rsidRPr="00000000" w14:paraId="00000016">
      <w:pPr>
        <w:spacing w:after="240" w:line="276" w:lineRule="auto"/>
        <w:rPr>
          <w:rFonts w:ascii="Arial" w:cs="Arial" w:eastAsia="Arial" w:hAnsi="Arial"/>
          <w:b w:val="1"/>
          <w:bCs w:val="1"/>
          <w:sz w:val="18"/>
          <w:szCs w:val="18"/>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nvJ+a94h2/iSI0a13znD2FHzA==">CgMxLjA4AHIhMTJrSm83cEcxaTk0dk8xbUdtUnJUaElEbXVIcC1LODNh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