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w:cs="Arial" w:eastAsia="Arial" w:hAnsi="Arial"/>
          <w:b w:val="1"/>
          <w:bCs w:val="1"/>
          <w:sz w:val="34"/>
          <w:szCs w:val="34"/>
        </w:rPr>
      </w:pPr>
      <w:r w:rsidDel="00000000" w:rsidR="00000000" w:rsidRPr="00000000">
        <w:rPr>
          <w:rFonts w:ascii="Arial" w:cs="Arial" w:eastAsia="Arial" w:hAnsi="Arial"/>
          <w:b w:val="1"/>
          <w:bCs w:val="1"/>
          <w:sz w:val="34"/>
          <w:szCs w:val="34"/>
          <w:rtl w:val="0"/>
        </w:rPr>
        <w:t xml:space="preserve">2018</w:t>
      </w:r>
    </w:p>
    <w:p w:rsidR="00000000" w:rsidDel="00000000" w:rsidP="00000000" w:rsidRDefault="00000000" w:rsidRPr="00000000" w14:paraId="00000002">
      <w:pPr>
        <w:spacing w:after="240" w:before="240" w:lineRule="auto"/>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In situ Immune Signatures and Microbial Load at the Nasopharyngeal Interface in Children With Acute Respiratory Infection</w:t>
      </w:r>
    </w:p>
    <w:p w:rsidR="00000000" w:rsidDel="00000000" w:rsidP="00000000" w:rsidRDefault="00000000" w:rsidRPr="00000000" w14:paraId="00000003">
      <w:pPr>
        <w:spacing w:after="240" w:before="240" w:lineRule="auto"/>
        <w:rPr>
          <w:rFonts w:ascii="Arial" w:cs="Arial" w:eastAsia="Arial" w:hAnsi="Arial"/>
          <w:b w:val="1"/>
          <w:bCs w:val="1"/>
          <w:sz w:val="36"/>
          <w:szCs w:val="36"/>
        </w:rPr>
      </w:pPr>
      <w:r w:rsidDel="00000000" w:rsidR="00000000" w:rsidRPr="00000000">
        <w:rPr>
          <w:rtl w:val="0"/>
        </w:rPr>
      </w:r>
    </w:p>
    <w:p w:rsidR="00000000" w:rsidDel="00000000" w:rsidP="00000000" w:rsidRDefault="00000000" w:rsidRPr="00000000" w14:paraId="00000004">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Background: The nasopharynx is a critical interface for the entry of respiratory pathogens, where the interaction between the host immune response and microbial load determines the clinical outcome of acute respiratory infections (ARI). Although the systemic response to ARI is well-documented, the local immune signatures and their correlation with different types of pathogens (viral, bacterial, or mixed) and the total microbial load in children remain to be fully elucidated. Understanding these local interactions is essential for identifying potential biomarkers of infection severity and type.</w:t>
      </w:r>
    </w:p>
    <w:p w:rsidR="00000000" w:rsidDel="00000000" w:rsidP="00000000" w:rsidRDefault="00000000" w:rsidRPr="00000000" w14:paraId="00000005">
      <w:pPr>
        <w:numPr>
          <w:ilvl w:val="0"/>
          <w:numId w:val="2"/>
        </w:numPr>
        <w:spacing w:after="0" w:before="240"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Abstract: Methods: A cross-sectional study was conducted with children (aged 6 months to 5 years) presenting with ARI at a hospital in Salvador, Brazil. Nasopharyngeal aspirates were collected to identify pathogens (viruses and bacteria) using molecular methods (RT-PCR and qPCR) and to quantify microbial load. Local immune signatures were assessed by measuring the expression of 20 cytokines and chemokines. Computational biology tools, including network analysis and principal component analysis, were used to integrate immunological and microbiological data.</w:t>
      </w:r>
    </w:p>
    <w:p w:rsidR="00000000" w:rsidDel="00000000" w:rsidP="00000000" w:rsidRDefault="00000000" w:rsidRPr="00000000" w14:paraId="00000006">
      <w:pPr>
        <w:numPr>
          <w:ilvl w:val="0"/>
          <w:numId w:val="2"/>
        </w:numPr>
        <w:spacing w:after="0" w:before="0"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 Results: Distinct immune signatures were associated with different infection profiles. Viral infections were characterized by a robust Type I Interferon-driven response (notably CXCL10/IP-10), while bacterial presence was more closely linked to pro-inflammatory markers like IL-1β and IL-6. A high total microbial load was strongly correlated with an overall increase in the local inflammatory environment. Furthermore, specific clusters of cytokines were able to distinguish between single viral infections, bacterial colonization, and co-infections with high accuracy. </w:t>
      </w:r>
    </w:p>
    <w:p w:rsidR="00000000" w:rsidDel="00000000" w:rsidP="00000000" w:rsidRDefault="00000000" w:rsidRPr="00000000" w14:paraId="00000007">
      <w:pPr>
        <w:numPr>
          <w:ilvl w:val="0"/>
          <w:numId w:val="2"/>
        </w:numPr>
        <w:spacing w:after="240" w:before="0" w:lineRule="auto"/>
        <w:ind w:left="720" w:hanging="360"/>
        <w:rPr>
          <w:rFonts w:ascii="Arial" w:cs="Arial" w:eastAsia="Arial" w:hAnsi="Arial"/>
          <w:b w:val="1"/>
          <w:bCs w:val="1"/>
        </w:rPr>
      </w:pPr>
      <w:r w:rsidDel="00000000" w:rsidR="00000000" w:rsidRPr="00000000">
        <w:rPr>
          <w:rFonts w:ascii="Arial" w:cs="Arial" w:eastAsia="Arial" w:hAnsi="Arial"/>
          <w:b w:val="1"/>
          <w:bCs w:val="1"/>
          <w:rtl w:val="0"/>
        </w:rPr>
        <w:t xml:space="preserve">Conclusion: The nasopharyngeal immune environment in children with ARI is highly compartmentalized and reflects both the type of invading pathogen and the total microbial burden. The identification of these </w:t>
      </w:r>
      <w:r w:rsidDel="00000000" w:rsidR="00000000" w:rsidRPr="00000000">
        <w:rPr>
          <w:rFonts w:ascii="Arial" w:cs="Arial" w:eastAsia="Arial" w:hAnsi="Arial"/>
          <w:b w:val="1"/>
          <w:bCs w:val="1"/>
          <w:i w:val="1"/>
          <w:iCs w:val="1"/>
          <w:rtl w:val="0"/>
        </w:rPr>
        <w:t xml:space="preserve">in situ</w:t>
      </w:r>
      <w:r w:rsidDel="00000000" w:rsidR="00000000" w:rsidRPr="00000000">
        <w:rPr>
          <w:rFonts w:ascii="Arial" w:cs="Arial" w:eastAsia="Arial" w:hAnsi="Arial"/>
          <w:b w:val="1"/>
          <w:bCs w:val="1"/>
          <w:rtl w:val="0"/>
        </w:rPr>
        <w:t xml:space="preserve"> signatures, particularly the prominence of CXCL10 in viral cases, provides insights into the local pathogenesis of ARI and suggests new targets for diagnostic and therapeutic monitoring.</w:t>
      </w:r>
    </w:p>
    <w:p w:rsidR="00000000" w:rsidDel="00000000" w:rsidP="00000000" w:rsidRDefault="00000000" w:rsidRPr="00000000" w14:paraId="00000008">
      <w:pPr>
        <w:spacing w:after="240" w:before="240" w:lineRule="auto"/>
        <w:rPr>
          <w:rFonts w:ascii="Arial" w:cs="Arial" w:eastAsia="Arial" w:hAnsi="Arial"/>
          <w:b w:val="1"/>
          <w:bCs w:val="1"/>
        </w:rPr>
      </w:pPr>
      <w:r w:rsidDel="00000000" w:rsidR="00000000" w:rsidRPr="00000000">
        <w:rPr>
          <w:rFonts w:ascii="Arial" w:cs="Arial" w:eastAsia="Arial" w:hAnsi="Arial"/>
          <w:b w:val="1"/>
          <w:bCs w:val="1"/>
          <w:rtl w:val="0"/>
        </w:rPr>
        <w:t xml:space="preserve">Keywords: Acute respiratory infection; nasopharynx; cytokines; microbial load; children; immune signatures.</w:t>
      </w:r>
    </w:p>
    <w:p w:rsidR="00000000" w:rsidDel="00000000" w:rsidP="00000000" w:rsidRDefault="00000000" w:rsidRPr="00000000" w14:paraId="00000009">
      <w:pPr>
        <w:spacing w:after="240" w:line="276"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A">
      <w:pPr>
        <w:spacing w:after="240" w:line="276" w:lineRule="auto"/>
        <w:rPr>
          <w:rFonts w:ascii="Arial" w:cs="Arial" w:eastAsia="Arial" w:hAnsi="Arial"/>
          <w:b w:val="1"/>
          <w:bCs w:val="1"/>
          <w:sz w:val="6"/>
          <w:szCs w:val="6"/>
        </w:rPr>
      </w:pPr>
      <w:r w:rsidDel="00000000" w:rsidR="00000000" w:rsidRPr="00000000">
        <w:rPr>
          <w:rtl w:val="0"/>
        </w:rPr>
      </w:r>
    </w:p>
    <w:p w:rsidR="00000000" w:rsidDel="00000000" w:rsidP="00000000" w:rsidRDefault="00000000" w:rsidRPr="00000000" w14:paraId="0000000B">
      <w:pPr>
        <w:spacing w:after="240" w:line="276" w:lineRule="auto"/>
        <w:rPr>
          <w:rFonts w:ascii="Arial" w:cs="Arial" w:eastAsia="Arial" w:hAnsi="Arial"/>
          <w:b w:val="1"/>
          <w:bCs w:val="1"/>
          <w:color w:val="0b5394"/>
          <w:sz w:val="30"/>
          <w:szCs w:val="30"/>
        </w:rPr>
      </w:pPr>
      <w:r w:rsidDel="00000000" w:rsidR="00000000" w:rsidRPr="00000000">
        <w:rPr>
          <w:rFonts w:ascii="Arial" w:cs="Arial" w:eastAsia="Arial" w:hAnsi="Arial"/>
          <w:b w:val="1"/>
          <w:bCs w:val="1"/>
          <w:color w:val="0b5394"/>
          <w:sz w:val="30"/>
          <w:szCs w:val="30"/>
          <w:rtl w:val="0"/>
        </w:rPr>
        <w:t xml:space="preserve">Assinaturas Imunológicas In Situ e Carga Microbiana na Interface Nasofaríngea em Crianças com Infecção Respiratória Aguda</w:t>
      </w:r>
    </w:p>
    <w:p w:rsidR="00000000" w:rsidDel="00000000" w:rsidP="00000000" w:rsidRDefault="00000000" w:rsidRPr="00000000" w14:paraId="0000000C">
      <w:pPr>
        <w:spacing w:after="240" w:line="276" w:lineRule="auto"/>
        <w:rPr>
          <w:rFonts w:ascii="Arial" w:cs="Arial" w:eastAsia="Arial" w:hAnsi="Arial"/>
          <w:b w:val="1"/>
          <w:bCs w:val="1"/>
          <w:color w:val="0b5394"/>
          <w:sz w:val="26"/>
          <w:szCs w:val="26"/>
        </w:rPr>
      </w:pPr>
      <w:r w:rsidDel="00000000" w:rsidR="00000000" w:rsidRPr="00000000">
        <w:rPr>
          <w:rtl w:val="0"/>
        </w:rPr>
      </w:r>
    </w:p>
    <w:p w:rsidR="00000000" w:rsidDel="00000000" w:rsidP="00000000" w:rsidRDefault="00000000" w:rsidRPr="00000000" w14:paraId="0000000D">
      <w:pPr>
        <w:spacing w:after="240" w:before="240" w:lineRule="auto"/>
        <w:rPr>
          <w:rFonts w:ascii="Arial" w:cs="Arial" w:eastAsia="Arial" w:hAnsi="Arial"/>
          <w:color w:val="0b5394"/>
        </w:rPr>
      </w:pPr>
      <w:r w:rsidDel="00000000" w:rsidR="00000000" w:rsidRPr="00000000">
        <w:rPr>
          <w:rFonts w:ascii="Arial" w:cs="Arial" w:eastAsia="Arial" w:hAnsi="Arial"/>
          <w:b w:val="1"/>
          <w:bCs w:val="1"/>
          <w:color w:val="0b5394"/>
          <w:rtl w:val="0"/>
        </w:rPr>
        <w:t xml:space="preserve">Contexto:</w:t>
      </w:r>
      <w:r w:rsidDel="00000000" w:rsidR="00000000" w:rsidRPr="00000000">
        <w:rPr>
          <w:rFonts w:ascii="Arial" w:cs="Arial" w:eastAsia="Arial" w:hAnsi="Arial"/>
          <w:color w:val="0b5394"/>
          <w:rtl w:val="0"/>
        </w:rPr>
        <w:t xml:space="preserve"> A nasofaringe é uma interface crítica para a entrada de patógenos respiratórios, onde a interação entre a resposta imune do hospedeiro e a carga microbiana determina o desfecho clínico das infecções respiratórias agudas (IRA). Embora a resposta sistêmica às IRA seja bem documentada, as assinaturas imunes locais e sua correlação com diferentes tipos de patógenos (virais, bacterianos ou mistos) e a carga microbiana total em crianças ainda não foram totalmente elucidadas. Compreender essas interações locais é essencial para identificar potenciais biomarcadores de gravidade e tipo de infecção.</w:t>
      </w:r>
    </w:p>
    <w:p w:rsidR="00000000" w:rsidDel="00000000" w:rsidP="00000000" w:rsidRDefault="00000000" w:rsidRPr="00000000" w14:paraId="0000000E">
      <w:pPr>
        <w:spacing w:after="240" w:before="240" w:lineRule="auto"/>
        <w:rPr>
          <w:rFonts w:ascii="Arial" w:cs="Arial" w:eastAsia="Arial" w:hAnsi="Arial"/>
          <w:color w:val="0b5394"/>
        </w:rPr>
      </w:pPr>
      <w:r w:rsidDel="00000000" w:rsidR="00000000" w:rsidRPr="00000000">
        <w:rPr>
          <w:rFonts w:ascii="Arial" w:cs="Arial" w:eastAsia="Arial" w:hAnsi="Arial"/>
          <w:b w:val="1"/>
          <w:bCs w:val="1"/>
          <w:color w:val="0b5394"/>
          <w:rtl w:val="0"/>
        </w:rPr>
        <w:t xml:space="preserve">Resumo:</w:t>
      </w:r>
      <w:r w:rsidDel="00000000" w:rsidR="00000000" w:rsidRPr="00000000">
        <w:rPr>
          <w:rFonts w:ascii="Arial" w:cs="Arial" w:eastAsia="Arial" w:hAnsi="Arial"/>
          <w:color w:val="0b5394"/>
          <w:rtl w:val="0"/>
        </w:rPr>
        <w:t xml:space="preserve"> </w:t>
      </w:r>
    </w:p>
    <w:p w:rsidR="00000000" w:rsidDel="00000000" w:rsidP="00000000" w:rsidRDefault="00000000" w:rsidRPr="00000000" w14:paraId="0000000F">
      <w:pPr>
        <w:numPr>
          <w:ilvl w:val="0"/>
          <w:numId w:val="1"/>
        </w:numPr>
        <w:spacing w:after="0" w:before="240" w:lineRule="auto"/>
        <w:ind w:left="720" w:hanging="360"/>
        <w:rPr>
          <w:rFonts w:ascii="Arial" w:cs="Arial" w:eastAsia="Arial" w:hAnsi="Arial"/>
          <w:color w:val="0b5394"/>
          <w:u w:val="none"/>
        </w:rPr>
      </w:pPr>
      <w:r w:rsidDel="00000000" w:rsidR="00000000" w:rsidRPr="00000000">
        <w:rPr>
          <w:rFonts w:ascii="Arial" w:cs="Arial" w:eastAsia="Arial" w:hAnsi="Arial"/>
          <w:b w:val="1"/>
          <w:bCs w:val="1"/>
          <w:color w:val="0b5394"/>
          <w:rtl w:val="0"/>
        </w:rPr>
        <w:t xml:space="preserve">Métodos:</w:t>
      </w:r>
      <w:r w:rsidDel="00000000" w:rsidR="00000000" w:rsidRPr="00000000">
        <w:rPr>
          <w:rFonts w:ascii="Arial" w:cs="Arial" w:eastAsia="Arial" w:hAnsi="Arial"/>
          <w:color w:val="0b5394"/>
          <w:rtl w:val="0"/>
        </w:rPr>
        <w:t xml:space="preserve"> Foi realizado um estudo transversal com crianças (de 6 meses a 5 anos) apresentando IRA em um hospital em Salvador, Brasil. Aspirados nasofaríngeos foram coletados para identificar patógenos (vírus e bactérias) por meio de métodos moleculares (RT-PCR e qPCR) e para quantificar a carga microbiana. As assinaturas imunes locais foram avaliadas medindo a expressão de 20 citocinas e quimiocinas. Ferramentas de biologia computacional, incluindo análise de redes e análise de componentes principais, foram utilizadas para integrar os dados imunológicos e microbiológicos. </w:t>
      </w:r>
      <w:r w:rsidDel="00000000" w:rsidR="00000000" w:rsidRPr="00000000">
        <w:rPr>
          <w:rtl w:val="0"/>
        </w:rPr>
      </w:r>
    </w:p>
    <w:p w:rsidR="00000000" w:rsidDel="00000000" w:rsidP="00000000" w:rsidRDefault="00000000" w:rsidRPr="00000000" w14:paraId="00000010">
      <w:pPr>
        <w:numPr>
          <w:ilvl w:val="0"/>
          <w:numId w:val="1"/>
        </w:numPr>
        <w:spacing w:after="0" w:before="0" w:lineRule="auto"/>
        <w:ind w:left="720" w:hanging="360"/>
        <w:rPr>
          <w:rFonts w:ascii="Arial" w:cs="Arial" w:eastAsia="Arial" w:hAnsi="Arial"/>
          <w:color w:val="0b5394"/>
          <w:u w:val="none"/>
        </w:rPr>
      </w:pPr>
      <w:r w:rsidDel="00000000" w:rsidR="00000000" w:rsidRPr="00000000">
        <w:rPr>
          <w:rFonts w:ascii="Arial" w:cs="Arial" w:eastAsia="Arial" w:hAnsi="Arial"/>
          <w:b w:val="1"/>
          <w:bCs w:val="1"/>
          <w:color w:val="0b5394"/>
          <w:rtl w:val="0"/>
        </w:rPr>
        <w:t xml:space="preserve">Resultados:</w:t>
      </w:r>
      <w:r w:rsidDel="00000000" w:rsidR="00000000" w:rsidRPr="00000000">
        <w:rPr>
          <w:rFonts w:ascii="Arial" w:cs="Arial" w:eastAsia="Arial" w:hAnsi="Arial"/>
          <w:color w:val="0b5394"/>
          <w:rtl w:val="0"/>
        </w:rPr>
        <w:t xml:space="preserve"> Assinaturas imunes distintas foram associadas a diferentes perfis de infecção. Infecções virais foram caracterizadas por uma resposta robusta impulsionada pelo Interferon Tipo I (notadamente CXCL10/IP-10), enquanto a presença bacteriana esteve mais estreitamente ligada a marcadores pró-inflamatórios como IL-1β e IL-6. Uma alta carga microbiana total correlacionou-se fortemente com um aumento geral no ambiente inflamatório local. Além disso, clusters específicos de citocinas foram capazes de distinguir entre infecções virais simples, colonização bacteriana e coinfecções com alta precisão.</w:t>
      </w:r>
      <w:r w:rsidDel="00000000" w:rsidR="00000000" w:rsidRPr="00000000">
        <w:rPr>
          <w:rtl w:val="0"/>
        </w:rPr>
      </w:r>
    </w:p>
    <w:p w:rsidR="00000000" w:rsidDel="00000000" w:rsidP="00000000" w:rsidRDefault="00000000" w:rsidRPr="00000000" w14:paraId="00000011">
      <w:pPr>
        <w:numPr>
          <w:ilvl w:val="0"/>
          <w:numId w:val="1"/>
        </w:numPr>
        <w:spacing w:after="240" w:before="0" w:lineRule="auto"/>
        <w:ind w:left="720" w:hanging="360"/>
        <w:rPr>
          <w:rFonts w:ascii="Arial" w:cs="Arial" w:eastAsia="Arial" w:hAnsi="Arial"/>
          <w:color w:val="0b5394"/>
          <w:u w:val="none"/>
        </w:rPr>
      </w:pPr>
      <w:r w:rsidDel="00000000" w:rsidR="00000000" w:rsidRPr="00000000">
        <w:rPr>
          <w:rFonts w:ascii="Arial" w:cs="Arial" w:eastAsia="Arial" w:hAnsi="Arial"/>
          <w:b w:val="1"/>
          <w:bCs w:val="1"/>
          <w:color w:val="0b5394"/>
          <w:rtl w:val="0"/>
        </w:rPr>
        <w:t xml:space="preserve">Conclusão:</w:t>
      </w:r>
      <w:r w:rsidDel="00000000" w:rsidR="00000000" w:rsidRPr="00000000">
        <w:rPr>
          <w:rFonts w:ascii="Arial" w:cs="Arial" w:eastAsia="Arial" w:hAnsi="Arial"/>
          <w:color w:val="0b5394"/>
          <w:rtl w:val="0"/>
        </w:rPr>
        <w:t xml:space="preserve"> O ambiente imune nasofaríngeo em crianças com IRA é altamente compartimentalizado e reflete tanto o tipo de patógeno invasor quanto a carga microbiana total. A identificação dessas assinaturas </w:t>
      </w:r>
      <w:r w:rsidDel="00000000" w:rsidR="00000000" w:rsidRPr="00000000">
        <w:rPr>
          <w:rFonts w:ascii="Arial" w:cs="Arial" w:eastAsia="Arial" w:hAnsi="Arial"/>
          <w:i w:val="1"/>
          <w:iCs w:val="1"/>
          <w:color w:val="0b5394"/>
          <w:rtl w:val="0"/>
        </w:rPr>
        <w:t xml:space="preserve">in situ</w:t>
      </w:r>
      <w:r w:rsidDel="00000000" w:rsidR="00000000" w:rsidRPr="00000000">
        <w:rPr>
          <w:rFonts w:ascii="Arial" w:cs="Arial" w:eastAsia="Arial" w:hAnsi="Arial"/>
          <w:color w:val="0b5394"/>
          <w:rtl w:val="0"/>
        </w:rPr>
        <w:t xml:space="preserve">, particularmente a proeminência de CXCL10 em casos virais, fornece novos insights sobre a patogênese local das IRA e sugere novos alvos para monitoramento diagnóstico e terapêutico.</w:t>
      </w:r>
      <w:r w:rsidDel="00000000" w:rsidR="00000000" w:rsidRPr="00000000">
        <w:rPr>
          <w:rtl w:val="0"/>
        </w:rPr>
      </w:r>
    </w:p>
    <w:p w:rsidR="00000000" w:rsidDel="00000000" w:rsidP="00000000" w:rsidRDefault="00000000" w:rsidRPr="00000000" w14:paraId="00000012">
      <w:pPr>
        <w:spacing w:after="240" w:before="240" w:lineRule="auto"/>
        <w:rPr>
          <w:rFonts w:ascii="Arial" w:cs="Arial" w:eastAsia="Arial" w:hAnsi="Arial"/>
          <w:color w:val="0b5394"/>
        </w:rPr>
      </w:pPr>
      <w:r w:rsidDel="00000000" w:rsidR="00000000" w:rsidRPr="00000000">
        <w:rPr>
          <w:rFonts w:ascii="Arial" w:cs="Arial" w:eastAsia="Arial" w:hAnsi="Arial"/>
          <w:b w:val="1"/>
          <w:bCs w:val="1"/>
          <w:color w:val="0b5394"/>
          <w:rtl w:val="0"/>
        </w:rPr>
        <w:t xml:space="preserve">Palavras-chave:</w:t>
      </w:r>
      <w:r w:rsidDel="00000000" w:rsidR="00000000" w:rsidRPr="00000000">
        <w:rPr>
          <w:rFonts w:ascii="Arial" w:cs="Arial" w:eastAsia="Arial" w:hAnsi="Arial"/>
          <w:color w:val="0b5394"/>
          <w:rtl w:val="0"/>
        </w:rPr>
        <w:t xml:space="preserve"> Infecção respiratória aguda; nasofaringe; citocinas; carga microbiana; crianças; assinaturas imunes.</w:t>
      </w:r>
    </w:p>
    <w:p w:rsidR="00000000" w:rsidDel="00000000" w:rsidP="00000000" w:rsidRDefault="00000000" w:rsidRPr="00000000" w14:paraId="00000013">
      <w:pPr>
        <w:spacing w:after="240" w:line="276" w:lineRule="auto"/>
        <w:rPr>
          <w:rFonts w:ascii="Arial" w:cs="Arial" w:eastAsia="Arial" w:hAnsi="Arial"/>
          <w:b w:val="1"/>
          <w:bCs w:val="1"/>
          <w:color w:val="0b5394"/>
        </w:rPr>
      </w:pP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nTkJVYpW4ikJN33yavJFkXBpAA==">CgMxLjA4AHIhMXZJZ2tDQUROTUdyVkI2UWxocG56MVB4STl3ZjZOVUJ2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