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0" w:lineRule="auto"/>
        <w:rPr>
          <w:b w:val="1"/>
          <w:bCs w:val="1"/>
          <w:color w:val="000000"/>
          <w:sz w:val="32"/>
          <w:szCs w:val="32"/>
        </w:rPr>
      </w:pPr>
      <w:bookmarkStart w:colFirst="0" w:colLast="0" w:name="_heading=h.sacz7crtxjjl" w:id="0"/>
      <w:bookmarkEnd w:id="0"/>
      <w:r w:rsidDel="00000000" w:rsidR="00000000" w:rsidRPr="00000000">
        <w:rPr>
          <w:b w:val="1"/>
          <w:bCs w:val="1"/>
          <w:color w:val="000000"/>
          <w:sz w:val="32"/>
          <w:szCs w:val="32"/>
          <w:rtl w:val="0"/>
        </w:rPr>
        <w:t xml:space="preserve">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keepNext w:val="0"/>
        <w:keepLines w:val="0"/>
        <w:spacing w:before="0" w:lineRule="auto"/>
        <w:rPr>
          <w:b w:val="1"/>
          <w:bCs w:val="1"/>
          <w:color w:val="000000"/>
          <w:sz w:val="32"/>
          <w:szCs w:val="32"/>
        </w:rPr>
      </w:pPr>
      <w:bookmarkStart w:colFirst="0" w:colLast="0" w:name="_heading=h.jngnup5kgv39" w:id="1"/>
      <w:bookmarkEnd w:id="1"/>
      <w:r w:rsidDel="00000000" w:rsidR="00000000" w:rsidRPr="00000000">
        <w:rPr>
          <w:b w:val="1"/>
          <w:bCs w:val="1"/>
          <w:color w:val="000000"/>
          <w:sz w:val="32"/>
          <w:szCs w:val="32"/>
          <w:rtl w:val="0"/>
        </w:rPr>
        <w:t xml:space="preserve">Body Mass Index and Incident Tuberculosis in Close Tuberculosis Contacts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4"/>
        <w:keepNext w:val="0"/>
        <w:keepLines w:val="0"/>
        <w:spacing w:after="40" w:before="0" w:lineRule="auto"/>
        <w:rPr>
          <w:b w:val="1"/>
          <w:bCs w:val="1"/>
          <w:color w:val="000000"/>
          <w:sz w:val="22"/>
          <w:szCs w:val="22"/>
        </w:rPr>
      </w:pPr>
      <w:bookmarkStart w:colFirst="0" w:colLast="0" w:name="_heading=h.b6jhytrw1o5v" w:id="2"/>
      <w:bookmarkEnd w:id="2"/>
      <w:r w:rsidDel="00000000" w:rsidR="00000000" w:rsidRPr="00000000">
        <w:rPr>
          <w:rtl w:val="0"/>
        </w:rPr>
      </w:r>
    </w:p>
    <w:p w:rsidR="00000000" w:rsidDel="00000000" w:rsidP="00000000" w:rsidRDefault="00000000" w:rsidRPr="00000000" w14:paraId="00000007">
      <w:pPr>
        <w:spacing w:after="240" w:lineRule="auto"/>
        <w:rPr>
          <w:b w:val="1"/>
          <w:bCs w:val="1"/>
        </w:rPr>
      </w:pPr>
      <w:r w:rsidDel="00000000" w:rsidR="00000000" w:rsidRPr="00000000">
        <w:rPr>
          <w:b w:val="1"/>
          <w:bCs w:val="1"/>
          <w:rtl w:val="0"/>
        </w:rPr>
        <w:t xml:space="preserve">Background:</w:t>
      </w:r>
    </w:p>
    <w:p w:rsidR="00000000" w:rsidDel="00000000" w:rsidP="00000000" w:rsidRDefault="00000000" w:rsidRPr="00000000" w14:paraId="00000008">
      <w:pPr>
        <w:spacing w:after="240" w:lineRule="auto"/>
        <w:rPr>
          <w:b w:val="1"/>
          <w:bCs w:val="1"/>
        </w:rPr>
      </w:pPr>
      <w:r w:rsidDel="00000000" w:rsidR="00000000" w:rsidRPr="00000000">
        <w:rPr>
          <w:b w:val="1"/>
          <w:bCs w:val="1"/>
          <w:rtl w:val="0"/>
        </w:rPr>
        <w:t xml:space="preserve"> Approximately 95% of individuals infected with </w:t>
      </w:r>
      <w:r w:rsidDel="00000000" w:rsidR="00000000" w:rsidRPr="00000000">
        <w:rPr>
          <w:b w:val="1"/>
          <w:bCs w:val="1"/>
          <w:i w:val="1"/>
          <w:iCs w:val="1"/>
          <w:rtl w:val="0"/>
        </w:rPr>
        <w:t xml:space="preserve">Mycobacterium tuberculosis</w:t>
      </w:r>
      <w:r w:rsidDel="00000000" w:rsidR="00000000" w:rsidRPr="00000000">
        <w:rPr>
          <w:b w:val="1"/>
          <w:bCs w:val="1"/>
          <w:rtl w:val="0"/>
        </w:rPr>
        <w:t xml:space="preserve"> do not progress to active tuberculosis (TB) disease. Identifying the specific determinants of TB progression among close contacts is critical for focusing prevention efforts and prioritizing the delivery of TB preventive therapy (TPT) to those at highest risk. While factors like age, HIV status, and initial infection markers are known, the role of readily available biomarkers like body mass index (BMI) in identifying progressors within high-risk, IGRA-positive populations needs clearer definition.</w:t>
      </w:r>
    </w:p>
    <w:p w:rsidR="00000000" w:rsidDel="00000000" w:rsidP="00000000" w:rsidRDefault="00000000" w:rsidRPr="00000000" w14:paraId="00000009">
      <w:pPr>
        <w:spacing w:after="240" w:lineRule="auto"/>
        <w:rPr>
          <w:b w:val="1"/>
          <w:bCs w:val="1"/>
        </w:rPr>
      </w:pPr>
      <w:r w:rsidDel="00000000" w:rsidR="00000000" w:rsidRPr="00000000">
        <w:rPr>
          <w:b w:val="1"/>
          <w:bCs w:val="1"/>
          <w:rtl w:val="0"/>
        </w:rPr>
        <w:t xml:space="preserve">Abstract:</w:t>
      </w:r>
    </w:p>
    <w:p w:rsidR="00000000" w:rsidDel="00000000" w:rsidP="00000000" w:rsidRDefault="00000000" w:rsidRPr="00000000" w14:paraId="0000000A">
      <w:pPr>
        <w:numPr>
          <w:ilvl w:val="0"/>
          <w:numId w:val="1"/>
        </w:numPr>
        <w:spacing w:after="0" w:lineRule="auto"/>
        <w:ind w:left="720" w:hanging="360"/>
        <w:rPr/>
      </w:pPr>
      <w:r w:rsidDel="00000000" w:rsidR="00000000" w:rsidRPr="00000000">
        <w:rPr>
          <w:b w:val="1"/>
          <w:bCs w:val="1"/>
          <w:rtl w:val="0"/>
        </w:rPr>
        <w:t xml:space="preserve">Methods: This prospective multi-center cohort study (RePORT-Brazil) followed 1,846 close contacts of pulmonary TB patients for 24 months between 2015 and 2019. Dimension reduction techniques (LASSO regression and empirical review) were used to develop prediction models for all contacts, IGRA-positive contacts, and IGRA-positive contacts who did not receive TPT.</w:t>
      </w:r>
      <w:r w:rsidDel="00000000" w:rsidR="00000000" w:rsidRPr="00000000">
        <w:rPr>
          <w:rtl w:val="0"/>
        </w:rPr>
      </w:r>
    </w:p>
    <w:p w:rsidR="00000000" w:rsidDel="00000000" w:rsidP="00000000" w:rsidRDefault="00000000" w:rsidRPr="00000000" w14:paraId="0000000B">
      <w:pPr>
        <w:numPr>
          <w:ilvl w:val="0"/>
          <w:numId w:val="1"/>
        </w:numPr>
        <w:spacing w:after="0" w:lineRule="auto"/>
        <w:ind w:left="720" w:hanging="360"/>
        <w:rPr/>
      </w:pPr>
      <w:r w:rsidDel="00000000" w:rsidR="00000000" w:rsidRPr="00000000">
        <w:rPr>
          <w:b w:val="1"/>
          <w:bCs w:val="1"/>
          <w:rtl w:val="0"/>
        </w:rPr>
        <w:t xml:space="preserve">Results: Among the contacts, 25 (1.4%) progressed to active TB. Not receiving TPT was the strongest risk factor for progression among all contacts (aHR: 16.55). For IGRA-positive contacts who did not receive TPT, BMI was inversely associated with TB risk (aHR: 0.89 per unit increase). A critical BMI threshold was identified; IGRA-positive contacts with a BMI $&lt;25$ kg/m² had a 4.14-fold higher risk of progression compared to those with a BMI $\ge25$ kg/m² (8.4% vs. 2.1% progression rate, respectively).</w:t>
      </w:r>
      <w:r w:rsidDel="00000000" w:rsidR="00000000" w:rsidRPr="00000000">
        <w:rPr>
          <w:rtl w:val="0"/>
        </w:rPr>
      </w:r>
    </w:p>
    <w:p w:rsidR="00000000" w:rsidDel="00000000" w:rsidP="00000000" w:rsidRDefault="00000000" w:rsidRPr="00000000" w14:paraId="0000000C">
      <w:pPr>
        <w:numPr>
          <w:ilvl w:val="0"/>
          <w:numId w:val="1"/>
        </w:numPr>
        <w:spacing w:after="240" w:lineRule="auto"/>
        <w:ind w:left="720" w:hanging="360"/>
        <w:rPr/>
      </w:pPr>
      <w:r w:rsidDel="00000000" w:rsidR="00000000" w:rsidRPr="00000000">
        <w:rPr>
          <w:b w:val="1"/>
          <w:bCs w:val="1"/>
          <w:rtl w:val="0"/>
        </w:rPr>
        <w:t xml:space="preserve">Conclusion: A BMI $&lt;25$ kg/m² is a robust and readily available biomarker that identifies IGRA-positive close contacts at high risk of progressing to TB disease. Prioritizing TPT for this specific group could significantly enhance TB prevention and control efforts.</w:t>
      </w:r>
      <w:r w:rsidDel="00000000" w:rsidR="00000000" w:rsidRPr="00000000">
        <w:rPr>
          <w:rtl w:val="0"/>
        </w:rPr>
      </w:r>
    </w:p>
    <w:p w:rsidR="00000000" w:rsidDel="00000000" w:rsidP="00000000" w:rsidRDefault="00000000" w:rsidRPr="00000000" w14:paraId="0000000D">
      <w:pPr>
        <w:spacing w:after="240" w:lineRule="auto"/>
        <w:rPr>
          <w:b w:val="1"/>
          <w:bCs w:val="1"/>
        </w:rPr>
      </w:pPr>
      <w:r w:rsidDel="00000000" w:rsidR="00000000" w:rsidRPr="00000000">
        <w:rPr>
          <w:b w:val="1"/>
          <w:bCs w:val="1"/>
          <w:rtl w:val="0"/>
        </w:rPr>
        <w:t xml:space="preserve">Keywords: close contact; TB progressor; active TB; prediction model; tuberculosis; interferon gamma release assay; body mass index.</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pStyle w:val="Heading4"/>
        <w:keepNext w:val="0"/>
        <w:keepLines w:val="0"/>
        <w:spacing w:after="40" w:before="0" w:lineRule="auto"/>
        <w:rPr>
          <w:b w:val="1"/>
          <w:bCs w:val="1"/>
          <w:color w:val="000000"/>
          <w:sz w:val="32"/>
          <w:szCs w:val="32"/>
        </w:rPr>
      </w:pPr>
      <w:bookmarkStart w:colFirst="0" w:colLast="0" w:name="_heading=h.7091fqjl9wy3" w:id="3"/>
      <w:bookmarkEnd w:id="3"/>
      <w:r w:rsidDel="00000000" w:rsidR="00000000" w:rsidRPr="00000000">
        <w:rPr>
          <w:rtl w:val="0"/>
        </w:rPr>
      </w:r>
    </w:p>
    <w:p w:rsidR="00000000" w:rsidDel="00000000" w:rsidP="00000000" w:rsidRDefault="00000000" w:rsidRPr="00000000" w14:paraId="00000019">
      <w:pPr>
        <w:spacing w:after="240" w:lineRule="auto"/>
        <w:rPr>
          <w:b w:val="1"/>
          <w:bCs w:val="1"/>
          <w:color w:val="0b5394"/>
          <w:sz w:val="32"/>
          <w:szCs w:val="32"/>
        </w:rPr>
      </w:pPr>
      <w:r w:rsidDel="00000000" w:rsidR="00000000" w:rsidRPr="00000000">
        <w:rPr>
          <w:b w:val="1"/>
          <w:bCs w:val="1"/>
          <w:color w:val="0b5394"/>
          <w:sz w:val="32"/>
          <w:szCs w:val="32"/>
          <w:rtl w:val="0"/>
        </w:rPr>
        <w:t xml:space="preserve">Índice de Massa Corporal e Tuberculose Incidente em Contatos Próximos de Tuberculose</w:t>
      </w:r>
    </w:p>
    <w:p w:rsidR="00000000" w:rsidDel="00000000" w:rsidP="00000000" w:rsidRDefault="00000000" w:rsidRPr="00000000" w14:paraId="0000001A">
      <w:pPr>
        <w:spacing w:after="240" w:lineRule="auto"/>
        <w:rPr>
          <w:b w:val="1"/>
          <w:bCs w:val="1"/>
          <w:color w:val="0b5394"/>
          <w:sz w:val="32"/>
          <w:szCs w:val="32"/>
        </w:rPr>
      </w:pPr>
      <w:r w:rsidDel="00000000" w:rsidR="00000000" w:rsidRPr="00000000">
        <w:rPr>
          <w:rtl w:val="0"/>
        </w:rPr>
      </w:r>
    </w:p>
    <w:p w:rsidR="00000000" w:rsidDel="00000000" w:rsidP="00000000" w:rsidRDefault="00000000" w:rsidRPr="00000000" w14:paraId="0000001B">
      <w:pPr>
        <w:spacing w:after="240" w:lineRule="auto"/>
        <w:rPr>
          <w:b w:val="1"/>
          <w:bCs w:val="1"/>
          <w:color w:val="0b5394"/>
        </w:rPr>
      </w:pPr>
      <w:r w:rsidDel="00000000" w:rsidR="00000000" w:rsidRPr="00000000">
        <w:rPr>
          <w:b w:val="1"/>
          <w:bCs w:val="1"/>
          <w:color w:val="0b5394"/>
          <w:rtl w:val="0"/>
        </w:rPr>
        <w:t xml:space="preserve">Contexto:</w:t>
      </w:r>
    </w:p>
    <w:p w:rsidR="00000000" w:rsidDel="00000000" w:rsidP="00000000" w:rsidRDefault="00000000" w:rsidRPr="00000000" w14:paraId="0000001C">
      <w:pPr>
        <w:spacing w:after="240" w:lineRule="auto"/>
        <w:rPr>
          <w:b w:val="1"/>
          <w:bCs w:val="1"/>
          <w:color w:val="0b5394"/>
        </w:rPr>
      </w:pPr>
      <w:r w:rsidDel="00000000" w:rsidR="00000000" w:rsidRPr="00000000">
        <w:rPr>
          <w:b w:val="1"/>
          <w:bCs w:val="1"/>
          <w:color w:val="0b5394"/>
          <w:rtl w:val="0"/>
        </w:rPr>
        <w:t xml:space="preserve">Aproximadamente 95% dos indivíduos infectados pelo </w:t>
      </w:r>
      <w:r w:rsidDel="00000000" w:rsidR="00000000" w:rsidRPr="00000000">
        <w:rPr>
          <w:b w:val="1"/>
          <w:bCs w:val="1"/>
          <w:i w:val="1"/>
          <w:iCs w:val="1"/>
          <w:color w:val="0b5394"/>
          <w:rtl w:val="0"/>
        </w:rPr>
        <w:t xml:space="preserve">Mycobacterium tuberculosis</w:t>
      </w:r>
      <w:r w:rsidDel="00000000" w:rsidR="00000000" w:rsidRPr="00000000">
        <w:rPr>
          <w:b w:val="1"/>
          <w:bCs w:val="1"/>
          <w:color w:val="0b5394"/>
          <w:rtl w:val="0"/>
        </w:rPr>
        <w:t xml:space="preserve"> não progridem para a doença ativa. Identificar os determinantes específicos da progressão da TB entre contatos próximos é fundamental para focar os esforços de prevenção e priorizar a oferta de tratamento preventivo da TB (TPT) para aqueles em maior risco. Embora fatores como idade, status de HIV e marcadores iniciais de infecção sejam conhecidos, o papel de biomarcadores prontamente disponíveis, como o índice de massa corporal (IMC), na identificação de "progressores" dentro de populações de alto risco com IGRA positivo precisa de uma definição mais clara.</w:t>
      </w:r>
    </w:p>
    <w:p w:rsidR="00000000" w:rsidDel="00000000" w:rsidP="00000000" w:rsidRDefault="00000000" w:rsidRPr="00000000" w14:paraId="0000001D">
      <w:pPr>
        <w:spacing w:after="240" w:lineRule="auto"/>
        <w:rPr>
          <w:b w:val="1"/>
          <w:bCs w:val="1"/>
          <w:color w:val="0b5394"/>
        </w:rPr>
      </w:pPr>
      <w:r w:rsidDel="00000000" w:rsidR="00000000" w:rsidRPr="00000000">
        <w:rPr>
          <w:b w:val="1"/>
          <w:bCs w:val="1"/>
          <w:color w:val="0b5394"/>
          <w:rtl w:val="0"/>
        </w:rPr>
        <w:t xml:space="preserve">Resumo:</w:t>
      </w:r>
    </w:p>
    <w:p w:rsidR="00000000" w:rsidDel="00000000" w:rsidP="00000000" w:rsidRDefault="00000000" w:rsidRPr="00000000" w14:paraId="0000001E">
      <w:pPr>
        <w:spacing w:after="240" w:lineRule="auto"/>
        <w:rPr>
          <w:b w:val="1"/>
          <w:bCs w:val="1"/>
          <w:color w:val="0b5394"/>
        </w:rPr>
      </w:pPr>
      <w:r w:rsidDel="00000000" w:rsidR="00000000" w:rsidRPr="00000000">
        <w:rPr>
          <w:rtl w:val="0"/>
        </w:rPr>
      </w:r>
    </w:p>
    <w:p w:rsidR="00000000" w:rsidDel="00000000" w:rsidP="00000000" w:rsidRDefault="00000000" w:rsidRPr="00000000" w14:paraId="0000001F">
      <w:pPr>
        <w:numPr>
          <w:ilvl w:val="0"/>
          <w:numId w:val="2"/>
        </w:numPr>
        <w:spacing w:after="0" w:lineRule="auto"/>
        <w:ind w:left="720" w:hanging="360"/>
        <w:rPr>
          <w:color w:val="0b5394"/>
        </w:rPr>
      </w:pPr>
      <w:r w:rsidDel="00000000" w:rsidR="00000000" w:rsidRPr="00000000">
        <w:rPr>
          <w:b w:val="1"/>
          <w:bCs w:val="1"/>
          <w:color w:val="0b5394"/>
          <w:rtl w:val="0"/>
        </w:rPr>
        <w:t xml:space="preserve">Métodos: Este estudo de coorte prospectivo multicêntrico (RePORT-Brasil) acompanhou 1.846 contatos próximos de pacientes com TB pulmonar por 24 meses entre 2015 e 2019. Técnicas de redução de dimensão (regressão LASSO e revisão empírica) foram utilizadas para desenvolver modelos de predição para todos os contatos, contatos com IGRA positivo e contatos com IGRA positivo que não receberam TPT.</w:t>
      </w:r>
      <w:r w:rsidDel="00000000" w:rsidR="00000000" w:rsidRPr="00000000">
        <w:rPr>
          <w:rtl w:val="0"/>
        </w:rPr>
      </w:r>
    </w:p>
    <w:p w:rsidR="00000000" w:rsidDel="00000000" w:rsidP="00000000" w:rsidRDefault="00000000" w:rsidRPr="00000000" w14:paraId="00000020">
      <w:pPr>
        <w:numPr>
          <w:ilvl w:val="0"/>
          <w:numId w:val="2"/>
        </w:numPr>
        <w:spacing w:after="0" w:lineRule="auto"/>
        <w:ind w:left="720" w:hanging="360"/>
        <w:rPr>
          <w:color w:val="0b5394"/>
        </w:rPr>
      </w:pPr>
      <w:r w:rsidDel="00000000" w:rsidR="00000000" w:rsidRPr="00000000">
        <w:rPr>
          <w:b w:val="1"/>
          <w:bCs w:val="1"/>
          <w:color w:val="0b5394"/>
          <w:rtl w:val="0"/>
        </w:rPr>
        <w:t xml:space="preserve">Resultados: Entre os contatos, 25 (1,4%) progrediram para TB ativa. Não receber o TPT foi o fator de risco mais forte para progressão entre todos os contatos (aHR: 16,55). Para contatos IGRA-positivos que não receberam TPT, o IMC foi inversamente associado ao risco de TB (aHR: 0,89 por aumento de unidade). Um limiar crítico de IMC foi identificado; contatos IGRA-positivos com IMC $&lt;25$ kg/m² tiveram um risco 4,14 vezes maior de progressão em comparação com aqueles com IMC $\ge25$ kg/m² (taxa de progressão de 8,4% vs. 2,1%, respectivamente).</w:t>
      </w:r>
      <w:r w:rsidDel="00000000" w:rsidR="00000000" w:rsidRPr="00000000">
        <w:rPr>
          <w:rtl w:val="0"/>
        </w:rPr>
      </w:r>
    </w:p>
    <w:p w:rsidR="00000000" w:rsidDel="00000000" w:rsidP="00000000" w:rsidRDefault="00000000" w:rsidRPr="00000000" w14:paraId="00000021">
      <w:pPr>
        <w:numPr>
          <w:ilvl w:val="0"/>
          <w:numId w:val="2"/>
        </w:numPr>
        <w:spacing w:after="240" w:lineRule="auto"/>
        <w:ind w:left="720" w:hanging="360"/>
        <w:rPr>
          <w:color w:val="0b5394"/>
        </w:rPr>
      </w:pPr>
      <w:r w:rsidDel="00000000" w:rsidR="00000000" w:rsidRPr="00000000">
        <w:rPr>
          <w:b w:val="1"/>
          <w:bCs w:val="1"/>
          <w:color w:val="0b5394"/>
          <w:rtl w:val="0"/>
        </w:rPr>
        <w:t xml:space="preserve">Conclusão: Um IMC $&lt;25$ kg/m² é um biomarcador robusto e prontamente disponível que identifica contatos próximos com IGRA positivo em alto risco de progressão para a doença ativa. Priorizar o TPT para este grupo específico pode melhorar significativamente os esforços de prevenção e controle da TB.</w:t>
      </w:r>
      <w:r w:rsidDel="00000000" w:rsidR="00000000" w:rsidRPr="00000000">
        <w:rPr>
          <w:rtl w:val="0"/>
        </w:rPr>
      </w:r>
    </w:p>
    <w:p w:rsidR="00000000" w:rsidDel="00000000" w:rsidP="00000000" w:rsidRDefault="00000000" w:rsidRPr="00000000" w14:paraId="00000022">
      <w:pPr>
        <w:spacing w:after="240" w:lineRule="auto"/>
        <w:rPr>
          <w:b w:val="1"/>
          <w:bCs w:val="1"/>
          <w:color w:val="0b5394"/>
        </w:rPr>
      </w:pPr>
      <w:r w:rsidDel="00000000" w:rsidR="00000000" w:rsidRPr="00000000">
        <w:rPr>
          <w:b w:val="1"/>
          <w:bCs w:val="1"/>
          <w:color w:val="0b5394"/>
          <w:rtl w:val="0"/>
        </w:rPr>
        <w:t xml:space="preserve">Palavras-chave: contato próximo; progressores de TB; TB ativa; modelo de predição; tuberculose; ensaio de liberação de interferon-gama; índice de massa corporal.</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N/ow8YBxUndgszcrwc8mBgBdxg==">CgMxLjAyDmguc2FjejdjcnR4ampsMg5oLmpuZ251cDVrZ3YzOTIOaC5iNmpoeXRydzFvNXYyDmguNzA5MWZxamw5d3kzOAByITF4UFhfX3FGSEVrU3owU0lGbmFNaEkyaHlvWWdvT2pySQ==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