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The Effect of Diabetes and Prediabetes on Mycobacterium tuberculosis Transmission to Close Contacts</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Diabetes mellitus (DM) is a well-known risk factor for developing active tuberculosis (TB) and experiencing poor clinical outcomes. However, it is currently unknown whether dysglycemia (prediabetes or DM) in persons with tuberculosis (PWTB) is associated with increased </w:t>
      </w:r>
      <w:r w:rsidDel="00000000" w:rsidR="00000000" w:rsidRPr="00000000">
        <w:rPr>
          <w:rFonts w:ascii="Arial" w:cs="Arial" w:eastAsia="Arial" w:hAnsi="Arial"/>
          <w:b w:val="1"/>
          <w:bCs w:val="1"/>
          <w:i w:val="1"/>
          <w:iCs w:val="1"/>
          <w:rtl w:val="0"/>
        </w:rPr>
        <w:t xml:space="preserve">Mycobacterium tuberculosis</w:t>
      </w:r>
      <w:r w:rsidDel="00000000" w:rsidR="00000000" w:rsidRPr="00000000">
        <w:rPr>
          <w:rFonts w:ascii="Arial" w:cs="Arial" w:eastAsia="Arial" w:hAnsi="Arial"/>
          <w:b w:val="1"/>
          <w:bCs w:val="1"/>
          <w:rtl w:val="0"/>
        </w:rPr>
        <w:t xml:space="preserve"> transmission to their close contacts. Understanding this relationship is vital for improving TB control strategies, especially in countries with a high burden of both diseases.</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6">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This multicenter prospective cohort study in Brazil assessed 592 PWTB (153 with DM, 141 with prediabetes, and 211 normoglycemic) and their 1,784 close contacts. Contacts were investigated at baseline and 6 months using QuantiFERON-TB Gold In-Tube (QFT). Multivariable mixed-effects logistic regression models tested independent associations with baseline QFT positivity and QFT conversion.</w:t>
      </w:r>
    </w:p>
    <w:p w:rsidR="00000000" w:rsidDel="00000000" w:rsidP="00000000" w:rsidRDefault="00000000" w:rsidRPr="00000000" w14:paraId="00000007">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Among the contacts, 658 were QFT-positive at baseline and 106 converted by month 6. In PWTB, prediabetes was independently associated with baseline QFT positivity in contacts, while DM, persistent cough, acid-fast bacilli (AFB) positivity, and pulmonary cavities were associated with QFT conversion. Contacts living with a smoker also had higher odds of baseline positivity.</w:t>
      </w:r>
    </w:p>
    <w:p w:rsidR="00000000" w:rsidDel="00000000" w:rsidP="00000000" w:rsidRDefault="00000000" w:rsidRPr="00000000" w14:paraId="00000008">
      <w:pPr>
        <w:numPr>
          <w:ilvl w:val="0"/>
          <w:numId w:val="2"/>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Contacts of PWTB with dysglycemia are at a significantly increased risk of being QFT-positive or undergoing QFT conversion. These findings suggest that dysglycemia increases Mtb transmission, highlighting the need for targeted TB control efforts among these close contacts.</w:t>
      </w:r>
    </w:p>
    <w:p w:rsidR="00000000" w:rsidDel="00000000" w:rsidP="00000000" w:rsidRDefault="00000000" w:rsidRPr="00000000" w14:paraId="00000009">
      <w:pPr>
        <w:spacing w:after="240" w:line="276" w:lineRule="auto"/>
        <w:rPr>
          <w:rFonts w:ascii="Arial" w:cs="Arial" w:eastAsia="Arial" w:hAnsi="Arial"/>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rtl w:val="0"/>
        </w:rPr>
        <w:t xml:space="preserve">diabetes, prediabetes, quantiFERON, interferon-$\gamma$ releasing assay, </w:t>
      </w:r>
      <w:r w:rsidDel="00000000" w:rsidR="00000000" w:rsidRPr="00000000">
        <w:rPr>
          <w:rFonts w:ascii="Arial" w:cs="Arial" w:eastAsia="Arial" w:hAnsi="Arial"/>
          <w:i w:val="1"/>
          <w:iCs w:val="1"/>
          <w:rtl w:val="0"/>
        </w:rPr>
        <w:t xml:space="preserve">Mycobacterium tuberculosis</w:t>
      </w:r>
      <w:r w:rsidDel="00000000" w:rsidR="00000000" w:rsidRPr="00000000">
        <w:rPr>
          <w:rFonts w:ascii="Arial" w:cs="Arial" w:eastAsia="Arial" w:hAnsi="Arial"/>
          <w:rtl w:val="0"/>
        </w:rPr>
        <w:t xml:space="preserve">.</w:t>
      </w:r>
    </w:p>
    <w:p w:rsidR="00000000" w:rsidDel="00000000" w:rsidP="00000000" w:rsidRDefault="00000000" w:rsidRPr="00000000" w14:paraId="0000000A">
      <w:pPr>
        <w:spacing w:after="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after="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C">
      <w:pPr>
        <w:spacing w:after="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D">
      <w:pPr>
        <w:spacing w:after="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E">
      <w:pPr>
        <w:spacing w:after="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0F">
      <w:pPr>
        <w:spacing w:after="240"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color w:val="0b5394"/>
          <w:sz w:val="28"/>
          <w:szCs w:val="28"/>
        </w:rPr>
      </w:pPr>
      <w:r w:rsidDel="00000000" w:rsidR="00000000" w:rsidRPr="00000000">
        <w:rPr>
          <w:rFonts w:ascii="Arial" w:cs="Arial" w:eastAsia="Arial" w:hAnsi="Arial"/>
          <w:b w:val="1"/>
          <w:bCs w:val="1"/>
          <w:color w:val="0b5394"/>
          <w:sz w:val="28"/>
          <w:szCs w:val="28"/>
          <w:rtl w:val="0"/>
        </w:rPr>
        <w:t xml:space="preserve">O Efeito do Diabetes e Pré-diabetes na Transmissão de </w:t>
      </w:r>
      <w:r w:rsidDel="00000000" w:rsidR="00000000" w:rsidRPr="00000000">
        <w:rPr>
          <w:rFonts w:ascii="Arial" w:cs="Arial" w:eastAsia="Arial" w:hAnsi="Arial"/>
          <w:b w:val="1"/>
          <w:bCs w:val="1"/>
          <w:i w:val="1"/>
          <w:iCs w:val="1"/>
          <w:color w:val="0b5394"/>
          <w:sz w:val="28"/>
          <w:szCs w:val="28"/>
          <w:rtl w:val="0"/>
        </w:rPr>
        <w:t xml:space="preserve">Mycobacterium tuberculosis</w:t>
      </w:r>
      <w:r w:rsidDel="00000000" w:rsidR="00000000" w:rsidRPr="00000000">
        <w:rPr>
          <w:rFonts w:ascii="Arial" w:cs="Arial" w:eastAsia="Arial" w:hAnsi="Arial"/>
          <w:b w:val="1"/>
          <w:bCs w:val="1"/>
          <w:color w:val="0b5394"/>
          <w:sz w:val="28"/>
          <w:szCs w:val="28"/>
          <w:rtl w:val="0"/>
        </w:rPr>
        <w:t xml:space="preserve"> para Contatos Próximos</w:t>
      </w:r>
    </w:p>
    <w:p w:rsidR="00000000" w:rsidDel="00000000" w:rsidP="00000000" w:rsidRDefault="00000000" w:rsidRPr="00000000" w14:paraId="00000011">
      <w:pPr>
        <w:spacing w:after="240" w:line="276" w:lineRule="auto"/>
        <w:rPr>
          <w:rFonts w:ascii="Arial" w:cs="Arial" w:eastAsia="Arial" w:hAnsi="Arial"/>
          <w:b w:val="1"/>
          <w:bCs w:val="1"/>
          <w:color w:val="0b5394"/>
          <w:sz w:val="28"/>
          <w:szCs w:val="28"/>
        </w:rPr>
      </w:pPr>
      <w:r w:rsidDel="00000000" w:rsidR="00000000" w:rsidRPr="00000000">
        <w:rPr>
          <w:rtl w:val="0"/>
        </w:rPr>
      </w:r>
    </w:p>
    <w:p w:rsidR="00000000" w:rsidDel="00000000" w:rsidP="00000000" w:rsidRDefault="00000000" w:rsidRPr="00000000" w14:paraId="00000012">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Contexto:</w:t>
      </w:r>
    </w:p>
    <w:p w:rsidR="00000000" w:rsidDel="00000000" w:rsidP="00000000" w:rsidRDefault="00000000" w:rsidRPr="00000000" w14:paraId="00000013">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O diabetes mellitus (DM) é um fator de risco bem conhecido para o desenvolvimento de tuberculose (TB) ativa e desfechos clínicos desfavoráveis. No entanto, atualmente não se sabe se a disglicemia (pré-diabetes ou DM) em pessoas com tuberculose (PCTB) está associada ao aumento da transmissão de </w:t>
      </w:r>
      <w:r w:rsidDel="00000000" w:rsidR="00000000" w:rsidRPr="00000000">
        <w:rPr>
          <w:rFonts w:ascii="Arial" w:cs="Arial" w:eastAsia="Arial" w:hAnsi="Arial"/>
          <w:b w:val="1"/>
          <w:bCs w:val="1"/>
          <w:i w:val="1"/>
          <w:iCs w:val="1"/>
          <w:color w:val="0b5394"/>
          <w:rtl w:val="0"/>
        </w:rPr>
        <w:t xml:space="preserve">Mycobacterium tuberculosis</w:t>
      </w:r>
      <w:r w:rsidDel="00000000" w:rsidR="00000000" w:rsidRPr="00000000">
        <w:rPr>
          <w:rFonts w:ascii="Arial" w:cs="Arial" w:eastAsia="Arial" w:hAnsi="Arial"/>
          <w:b w:val="1"/>
          <w:bCs w:val="1"/>
          <w:color w:val="0b5394"/>
          <w:rtl w:val="0"/>
        </w:rPr>
        <w:t xml:space="preserve"> para seus contatos próximos. Compreender essa relação é vital para melhorar as estratégias de controle da TB, especialmente em países com alta carga de ambas as doenças.</w:t>
      </w:r>
    </w:p>
    <w:p w:rsidR="00000000" w:rsidDel="00000000" w:rsidP="00000000" w:rsidRDefault="00000000" w:rsidRPr="00000000" w14:paraId="00000014">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Resumo:</w:t>
      </w:r>
    </w:p>
    <w:p w:rsidR="00000000" w:rsidDel="00000000" w:rsidP="00000000" w:rsidRDefault="00000000" w:rsidRPr="00000000" w14:paraId="00000015">
      <w:pPr>
        <w:numPr>
          <w:ilvl w:val="0"/>
          <w:numId w:val="1"/>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Métodos: Este estudo de coorte prospectivo multicêntrico no Brasil avaliou 592 PCTB (153 com DM, 141 com pré-diabetes e 211 normoglicêmicos) e seus 1.784 contatos próximos. Os contatos foram investigados no início do estudo e após 6 meses usando QuantiFERON-TB Gold In-Tube (QFT). Modelos de regressão logística multivariada de efeitos mistos testaram associações independentes com a positividade basal do QFT e a conversão do QFT.</w:t>
      </w:r>
    </w:p>
    <w:p w:rsidR="00000000" w:rsidDel="00000000" w:rsidP="00000000" w:rsidRDefault="00000000" w:rsidRPr="00000000" w14:paraId="00000016">
      <w:pPr>
        <w:numPr>
          <w:ilvl w:val="0"/>
          <w:numId w:val="1"/>
        </w:numPr>
        <w:spacing w:after="0" w:afterAutospacing="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Resultados: Entre os contatos, 658 apresentaram QFT positivo na linha de base e 106 converteram até o 6º mês. Nas PCTB, o pré-diabetes foi independentemente associado à positividade basal do QFT nos contatos, enquanto o DM, tosse persistente, positividade para bacilos álcool-ácido resistentes (BAAR) e cavidades pulmonares foram associados à conversão do QFT. Contatos que viviam com fumantes também tiveram maiores chances de positividade basal.</w:t>
      </w:r>
    </w:p>
    <w:p w:rsidR="00000000" w:rsidDel="00000000" w:rsidP="00000000" w:rsidRDefault="00000000" w:rsidRPr="00000000" w14:paraId="00000017">
      <w:pPr>
        <w:numPr>
          <w:ilvl w:val="0"/>
          <w:numId w:val="1"/>
        </w:numPr>
        <w:spacing w:after="240" w:line="276" w:lineRule="auto"/>
        <w:ind w:left="720" w:hanging="360"/>
        <w:rPr>
          <w:b w:val="1"/>
          <w:bCs w:val="1"/>
          <w:color w:val="0b5394"/>
        </w:rPr>
      </w:pPr>
      <w:r w:rsidDel="00000000" w:rsidR="00000000" w:rsidRPr="00000000">
        <w:rPr>
          <w:rFonts w:ascii="Arial" w:cs="Arial" w:eastAsia="Arial" w:hAnsi="Arial"/>
          <w:b w:val="1"/>
          <w:bCs w:val="1"/>
          <w:color w:val="0b5394"/>
          <w:rtl w:val="0"/>
        </w:rPr>
        <w:t xml:space="preserve">Conclusão: Contatos de PCTB com disglicemia apresentam um risco significativamente aumentado de serem QFT positivos ou de sofrerem conversão do QFT. Esses achados sugerem que a disglicemia aumenta a transmissão de Mtb, destacando a necessidade de esforços direcionados de controle da TB entre esses contatos próximos.</w:t>
      </w:r>
    </w:p>
    <w:p w:rsidR="00000000" w:rsidDel="00000000" w:rsidP="00000000" w:rsidRDefault="00000000" w:rsidRPr="00000000" w14:paraId="00000018">
      <w:pPr>
        <w:spacing w:after="240" w:line="276" w:lineRule="auto"/>
        <w:rPr>
          <w:rFonts w:ascii="Arial" w:cs="Arial" w:eastAsia="Arial" w:hAnsi="Arial"/>
          <w:b w:val="1"/>
          <w:bCs w:val="1"/>
          <w:color w:val="0b5394"/>
        </w:rPr>
      </w:pPr>
      <w:r w:rsidDel="00000000" w:rsidR="00000000" w:rsidRPr="00000000">
        <w:rPr>
          <w:rFonts w:ascii="Arial" w:cs="Arial" w:eastAsia="Arial" w:hAnsi="Arial"/>
          <w:b w:val="1"/>
          <w:bCs w:val="1"/>
          <w:color w:val="0b5394"/>
          <w:rtl w:val="0"/>
        </w:rPr>
        <w:t xml:space="preserve">Palavras-chave: diabetes, pré-diabetes, quantiFERON, ensaio de liberação de interferon-$\gamma$, </w:t>
      </w:r>
      <w:r w:rsidDel="00000000" w:rsidR="00000000" w:rsidRPr="00000000">
        <w:rPr>
          <w:rFonts w:ascii="Arial" w:cs="Arial" w:eastAsia="Arial" w:hAnsi="Arial"/>
          <w:b w:val="1"/>
          <w:bCs w:val="1"/>
          <w:i w:val="1"/>
          <w:iCs w:val="1"/>
          <w:color w:val="0b5394"/>
          <w:rtl w:val="0"/>
        </w:rPr>
        <w:t xml:space="preserve">Mycobacterium tuberculosis</w:t>
      </w:r>
      <w:r w:rsidDel="00000000" w:rsidR="00000000" w:rsidRPr="00000000">
        <w:rPr>
          <w:rFonts w:ascii="Arial" w:cs="Arial" w:eastAsia="Arial" w:hAnsi="Arial"/>
          <w:b w:val="1"/>
          <w:bCs w:val="1"/>
          <w:color w:val="0b5394"/>
          <w:rtl w:val="0"/>
        </w:rPr>
        <w:t xml:space="preserve">.</w:t>
      </w:r>
    </w:p>
    <w:p w:rsidR="00000000" w:rsidDel="00000000" w:rsidP="00000000" w:rsidRDefault="00000000" w:rsidRPr="00000000" w14:paraId="00000019">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CODzIcTrlb+ikwNQqGL8YVsIA==">CgMxLjA4AHIhMTlOQlE4bzVHYWZDU3J3TWtwUTJSdE1Ud2hZRU5USFhI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