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76"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2018</w:t>
      </w:r>
    </w:p>
    <w:p w:rsidR="00000000" w:rsidDel="00000000" w:rsidP="00000000" w:rsidRDefault="00000000" w:rsidRPr="00000000" w14:paraId="00000002">
      <w:pPr>
        <w:spacing w:after="240" w:line="276" w:lineRule="auto"/>
        <w:rPr>
          <w:rFonts w:ascii="Arial" w:cs="Arial" w:eastAsia="Arial" w:hAnsi="Arial"/>
          <w:b w:val="1"/>
          <w:bCs w:val="1"/>
          <w:sz w:val="30"/>
          <w:szCs w:val="30"/>
        </w:rPr>
      </w:pPr>
      <w:r w:rsidDel="00000000" w:rsidR="00000000" w:rsidRPr="00000000">
        <w:rPr>
          <w:rFonts w:ascii="Arial" w:cs="Arial" w:eastAsia="Arial" w:hAnsi="Arial"/>
          <w:b w:val="1"/>
          <w:bCs w:val="1"/>
          <w:sz w:val="30"/>
          <w:szCs w:val="30"/>
          <w:rtl w:val="0"/>
        </w:rPr>
        <w:t xml:space="preserve">Polymorphisms in TLR4 and TNFA and Risk of Mycobacterium tuberculosis Infection and Development of Active Disease in Contacts of Tuberculosis Cases in Brazil: A Prospective Cohort Study</w:t>
      </w:r>
    </w:p>
    <w:p w:rsidR="00000000" w:rsidDel="00000000" w:rsidP="00000000" w:rsidRDefault="00000000" w:rsidRPr="00000000" w14:paraId="00000003">
      <w:pPr>
        <w:spacing w:after="240" w:line="276"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04">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Background: The role of genetic polymorphisms in latent tuberculosis infection (LTBI) and progression to active disease is not fully understood. Although some risk factors are known, many patients do not present classical risk factors, making the identification of susceptibility biomarkers essential to prioritize LTBI treatment. Genetic components of innate immunity, such as Toll-like receptors (TLRs) and tumor necrosis factor alpha (TNF-α), have been suggested as influencing susceptibility to tuberculosis (TB).</w:t>
      </w:r>
    </w:p>
    <w:p w:rsidR="00000000" w:rsidDel="00000000" w:rsidP="00000000" w:rsidRDefault="00000000" w:rsidRPr="00000000" w14:paraId="00000005">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Abstract:</w:t>
        <w:br w:type="textWrapping"/>
        <w:t xml:space="preserve"> Methods: A prospective cohort study was conducted with 526 contacts of 177 microbiologically confirmed pulmonary TB cases at a reference center in Brazil between 1998 and 2004. Participants were followed for up to 24 months with clinical evaluations and serial tuberculin skin tests (TST). Single nucleotide polymorphisms (SNPs) in the genes TLR2 (rs5743708), TLR4 (rs4986791), TNFA (rs361525), IFNG (rs2430561), and IL1B (rs1143627) were assessed as risk factors for TST conversion or development of active TB.</w:t>
      </w:r>
    </w:p>
    <w:p w:rsidR="00000000" w:rsidDel="00000000" w:rsidP="00000000" w:rsidRDefault="00000000" w:rsidRPr="00000000" w14:paraId="00000006">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Results: Among the 526 contacts, 60 showed TST conversion and 44 developed active TB during follow-up. Multivariate regression analysis demonstrated that male sex (OR: 2.3), as well as variants in the TLR4 (OR: 62.8) and TNFA (OR: 4.2) genes, were independently associated with TST conversion. Additionally, a positive baseline TST (OR: 4.7) and SNPs in TLR4 (OR: 6.5) and TNFA (OR: 12.4) were independently associated with the incidence of active TB. Bayesian network modeling confirmed these direct and robust associations.</w:t>
      </w:r>
    </w:p>
    <w:p w:rsidR="00000000" w:rsidDel="00000000" w:rsidP="00000000" w:rsidRDefault="00000000" w:rsidRPr="00000000" w14:paraId="00000007">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Conclusion: Polymorphisms in the TLR4 and TNFA genes were predictors of both tuberculin test conversion and the development of active TB among contacts of tuberculosis cases in Brazil. These findings suggest that genetic markers of innate immune response may help identify individuals at higher risk of infection and disease progression.</w:t>
      </w:r>
    </w:p>
    <w:p w:rsidR="00000000" w:rsidDel="00000000" w:rsidP="00000000" w:rsidRDefault="00000000" w:rsidRPr="00000000" w14:paraId="00000008">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Keywords: Single nucleotide polymorphism; tuberculin skin test; </w:t>
      </w:r>
      <w:r w:rsidDel="00000000" w:rsidR="00000000" w:rsidRPr="00000000">
        <w:rPr>
          <w:rFonts w:ascii="Arial" w:cs="Arial" w:eastAsia="Arial" w:hAnsi="Arial"/>
          <w:b w:val="1"/>
          <w:bCs w:val="1"/>
          <w:i w:val="1"/>
          <w:iCs w:val="1"/>
          <w:rtl w:val="0"/>
        </w:rPr>
        <w:t xml:space="preserve">Mycobacterium tuberculosis</w:t>
      </w:r>
      <w:r w:rsidDel="00000000" w:rsidR="00000000" w:rsidRPr="00000000">
        <w:rPr>
          <w:rFonts w:ascii="Arial" w:cs="Arial" w:eastAsia="Arial" w:hAnsi="Arial"/>
          <w:b w:val="1"/>
          <w:bCs w:val="1"/>
          <w:rtl w:val="0"/>
        </w:rPr>
        <w:t xml:space="preserve">; tumor necrosis factor; Toll-like receptor.</w:t>
      </w:r>
    </w:p>
    <w:p w:rsidR="00000000" w:rsidDel="00000000" w:rsidP="00000000" w:rsidRDefault="00000000" w:rsidRPr="00000000" w14:paraId="00000009">
      <w:pPr>
        <w:spacing w:after="240" w:line="276"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0A">
      <w:pPr>
        <w:spacing w:after="240" w:line="276"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0B">
      <w:pPr>
        <w:spacing w:after="240" w:line="276"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0C">
      <w:pPr>
        <w:spacing w:after="240" w:line="276"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0D">
      <w:pPr>
        <w:spacing w:after="240" w:line="276" w:lineRule="auto"/>
        <w:rPr>
          <w:rFonts w:ascii="Arial" w:cs="Arial" w:eastAsia="Arial" w:hAnsi="Arial"/>
          <w:b w:val="1"/>
          <w:bCs w:val="1"/>
          <w:color w:val="0b5394"/>
          <w:sz w:val="26"/>
          <w:szCs w:val="26"/>
        </w:rPr>
      </w:pPr>
      <w:r w:rsidDel="00000000" w:rsidR="00000000" w:rsidRPr="00000000">
        <w:rPr>
          <w:rFonts w:ascii="Arial" w:cs="Arial" w:eastAsia="Arial" w:hAnsi="Arial"/>
          <w:b w:val="1"/>
          <w:bCs w:val="1"/>
          <w:color w:val="0b5394"/>
          <w:sz w:val="26"/>
          <w:szCs w:val="26"/>
          <w:rtl w:val="0"/>
        </w:rPr>
        <w:t xml:space="preserve">Polimorfismos em TLR4 e TNFA e Risco de Infecção por Mycobacterium tuberculosis e Desenvolvimento de Doença Ativa em Contatos de Casos de Tuberculose no Brasil: Um Estudo de Coorte Prospectivo</w:t>
      </w:r>
    </w:p>
    <w:p w:rsidR="00000000" w:rsidDel="00000000" w:rsidP="00000000" w:rsidRDefault="00000000" w:rsidRPr="00000000" w14:paraId="0000000E">
      <w:pPr>
        <w:spacing w:after="240" w:line="276" w:lineRule="auto"/>
        <w:rPr>
          <w:rFonts w:ascii="Arial" w:cs="Arial" w:eastAsia="Arial" w:hAnsi="Arial"/>
          <w:b w:val="1"/>
          <w:bCs w:val="1"/>
          <w:color w:val="0b5394"/>
        </w:rPr>
      </w:pPr>
      <w:r w:rsidDel="00000000" w:rsidR="00000000" w:rsidRPr="00000000">
        <w:rPr>
          <w:rtl w:val="0"/>
        </w:rPr>
      </w:r>
    </w:p>
    <w:p w:rsidR="00000000" w:rsidDel="00000000" w:rsidP="00000000" w:rsidRDefault="00000000" w:rsidRPr="00000000" w14:paraId="0000000F">
      <w:pPr>
        <w:spacing w:after="240" w:before="240"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Contexto: O papel dos polimorfismos genéticos na infecção latente por tuberculose (ILTB) e na progressão para a doença ativa não é totalmente compreendido. Embora alguns fatores de risco sejam conhecidos, muitos pacientes não apresentam fatores de risco clássicos, o que torna a identificação de biomarcadores de suscetibilidade essencial para priorizar o tratamento da ILTB. Componentes genéticos da imunidade inata, como os receptores Toll-like (TLR) e o fator de necrose tumoral alfa (TNF-α), têm sido sugeridos como influenciadores da suscetibilidade à tuberculose (TB).</w:t>
      </w:r>
    </w:p>
    <w:p w:rsidR="00000000" w:rsidDel="00000000" w:rsidP="00000000" w:rsidRDefault="00000000" w:rsidRPr="00000000" w14:paraId="00000010">
      <w:pPr>
        <w:numPr>
          <w:ilvl w:val="0"/>
          <w:numId w:val="1"/>
        </w:numPr>
        <w:spacing w:after="0" w:before="240" w:lineRule="auto"/>
        <w:ind w:left="720" w:hanging="360"/>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Resumo: Métodos: Foi realizado um estudo de coorte prospectivo com 526 contatos de 177 casos de TB pulmonar confirmados microbiologicamente em um centro de referência no Brasil, entre 1998 e 2004. Os participantes foram acompanhados por até 24 meses com exames clínicos e testes tuberculínicos (PT) seriados. Foram testados polimorfismos de nucleotídeo único (SNPs) nos genes </w:t>
      </w:r>
      <w:r w:rsidDel="00000000" w:rsidR="00000000" w:rsidRPr="00000000">
        <w:rPr>
          <w:rFonts w:ascii="Arial" w:cs="Arial" w:eastAsia="Arial" w:hAnsi="Arial"/>
          <w:b w:val="1"/>
          <w:bCs w:val="1"/>
          <w:i w:val="1"/>
          <w:iCs w:val="1"/>
          <w:color w:val="0b5394"/>
          <w:rtl w:val="0"/>
        </w:rPr>
        <w:t xml:space="preserve">TLR2</w:t>
      </w:r>
      <w:r w:rsidDel="00000000" w:rsidR="00000000" w:rsidRPr="00000000">
        <w:rPr>
          <w:rFonts w:ascii="Arial" w:cs="Arial" w:eastAsia="Arial" w:hAnsi="Arial"/>
          <w:b w:val="1"/>
          <w:bCs w:val="1"/>
          <w:color w:val="0b5394"/>
          <w:rtl w:val="0"/>
        </w:rPr>
        <w:t xml:space="preserve"> (rs5743708), </w:t>
      </w:r>
      <w:r w:rsidDel="00000000" w:rsidR="00000000" w:rsidRPr="00000000">
        <w:rPr>
          <w:rFonts w:ascii="Arial" w:cs="Arial" w:eastAsia="Arial" w:hAnsi="Arial"/>
          <w:b w:val="1"/>
          <w:bCs w:val="1"/>
          <w:i w:val="1"/>
          <w:iCs w:val="1"/>
          <w:color w:val="0b5394"/>
          <w:rtl w:val="0"/>
        </w:rPr>
        <w:t xml:space="preserve">TLR4</w:t>
      </w:r>
      <w:r w:rsidDel="00000000" w:rsidR="00000000" w:rsidRPr="00000000">
        <w:rPr>
          <w:rFonts w:ascii="Arial" w:cs="Arial" w:eastAsia="Arial" w:hAnsi="Arial"/>
          <w:b w:val="1"/>
          <w:bCs w:val="1"/>
          <w:color w:val="0b5394"/>
          <w:rtl w:val="0"/>
        </w:rPr>
        <w:t xml:space="preserve"> (rs4986791), </w:t>
      </w:r>
      <w:r w:rsidDel="00000000" w:rsidR="00000000" w:rsidRPr="00000000">
        <w:rPr>
          <w:rFonts w:ascii="Arial" w:cs="Arial" w:eastAsia="Arial" w:hAnsi="Arial"/>
          <w:b w:val="1"/>
          <w:bCs w:val="1"/>
          <w:i w:val="1"/>
          <w:iCs w:val="1"/>
          <w:color w:val="0b5394"/>
          <w:rtl w:val="0"/>
        </w:rPr>
        <w:t xml:space="preserve">TNFA</w:t>
      </w:r>
      <w:r w:rsidDel="00000000" w:rsidR="00000000" w:rsidRPr="00000000">
        <w:rPr>
          <w:rFonts w:ascii="Arial" w:cs="Arial" w:eastAsia="Arial" w:hAnsi="Arial"/>
          <w:b w:val="1"/>
          <w:bCs w:val="1"/>
          <w:color w:val="0b5394"/>
          <w:rtl w:val="0"/>
        </w:rPr>
        <w:t xml:space="preserve"> (rs361525), </w:t>
      </w:r>
      <w:r w:rsidDel="00000000" w:rsidR="00000000" w:rsidRPr="00000000">
        <w:rPr>
          <w:rFonts w:ascii="Arial" w:cs="Arial" w:eastAsia="Arial" w:hAnsi="Arial"/>
          <w:b w:val="1"/>
          <w:bCs w:val="1"/>
          <w:i w:val="1"/>
          <w:iCs w:val="1"/>
          <w:color w:val="0b5394"/>
          <w:rtl w:val="0"/>
        </w:rPr>
        <w:t xml:space="preserve">IFNG</w:t>
      </w:r>
      <w:r w:rsidDel="00000000" w:rsidR="00000000" w:rsidRPr="00000000">
        <w:rPr>
          <w:rFonts w:ascii="Arial" w:cs="Arial" w:eastAsia="Arial" w:hAnsi="Arial"/>
          <w:b w:val="1"/>
          <w:bCs w:val="1"/>
          <w:color w:val="0b5394"/>
          <w:rtl w:val="0"/>
        </w:rPr>
        <w:t xml:space="preserve"> (rs2430561) e </w:t>
      </w:r>
      <w:r w:rsidDel="00000000" w:rsidR="00000000" w:rsidRPr="00000000">
        <w:rPr>
          <w:rFonts w:ascii="Arial" w:cs="Arial" w:eastAsia="Arial" w:hAnsi="Arial"/>
          <w:b w:val="1"/>
          <w:bCs w:val="1"/>
          <w:i w:val="1"/>
          <w:iCs w:val="1"/>
          <w:color w:val="0b5394"/>
          <w:rtl w:val="0"/>
        </w:rPr>
        <w:t xml:space="preserve">IL1B</w:t>
      </w:r>
      <w:r w:rsidDel="00000000" w:rsidR="00000000" w:rsidRPr="00000000">
        <w:rPr>
          <w:rFonts w:ascii="Arial" w:cs="Arial" w:eastAsia="Arial" w:hAnsi="Arial"/>
          <w:b w:val="1"/>
          <w:bCs w:val="1"/>
          <w:color w:val="0b5394"/>
          <w:rtl w:val="0"/>
        </w:rPr>
        <w:t xml:space="preserve"> (rs1143627) como fatores de risco para conversão do PT ou desenvolvimento de TB ativa.</w:t>
      </w:r>
    </w:p>
    <w:p w:rsidR="00000000" w:rsidDel="00000000" w:rsidP="00000000" w:rsidRDefault="00000000" w:rsidRPr="00000000" w14:paraId="00000011">
      <w:pPr>
        <w:numPr>
          <w:ilvl w:val="0"/>
          <w:numId w:val="1"/>
        </w:numPr>
        <w:spacing w:after="0" w:before="0" w:lineRule="auto"/>
        <w:ind w:left="720" w:hanging="360"/>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Resultados: Entre os 526 contatos, 60 apresentaram conversão do PT e 44 desenvolveram TB ativa durante o acompanhamento. A análise de regressão multivariada demonstrou que o sexo masculino (OR: 2,3), bem como variantes nos genes </w:t>
      </w:r>
      <w:r w:rsidDel="00000000" w:rsidR="00000000" w:rsidRPr="00000000">
        <w:rPr>
          <w:rFonts w:ascii="Arial" w:cs="Arial" w:eastAsia="Arial" w:hAnsi="Arial"/>
          <w:b w:val="1"/>
          <w:bCs w:val="1"/>
          <w:i w:val="1"/>
          <w:iCs w:val="1"/>
          <w:color w:val="0b5394"/>
          <w:rtl w:val="0"/>
        </w:rPr>
        <w:t xml:space="preserve">TLR4</w:t>
      </w:r>
      <w:r w:rsidDel="00000000" w:rsidR="00000000" w:rsidRPr="00000000">
        <w:rPr>
          <w:rFonts w:ascii="Arial" w:cs="Arial" w:eastAsia="Arial" w:hAnsi="Arial"/>
          <w:b w:val="1"/>
          <w:bCs w:val="1"/>
          <w:color w:val="0b5394"/>
          <w:rtl w:val="0"/>
        </w:rPr>
        <w:t xml:space="preserve"> (OR: 62,8) e </w:t>
      </w:r>
      <w:r w:rsidDel="00000000" w:rsidR="00000000" w:rsidRPr="00000000">
        <w:rPr>
          <w:rFonts w:ascii="Arial" w:cs="Arial" w:eastAsia="Arial" w:hAnsi="Arial"/>
          <w:b w:val="1"/>
          <w:bCs w:val="1"/>
          <w:i w:val="1"/>
          <w:iCs w:val="1"/>
          <w:color w:val="0b5394"/>
          <w:rtl w:val="0"/>
        </w:rPr>
        <w:t xml:space="preserve">TNFA</w:t>
      </w:r>
      <w:r w:rsidDel="00000000" w:rsidR="00000000" w:rsidRPr="00000000">
        <w:rPr>
          <w:rFonts w:ascii="Arial" w:cs="Arial" w:eastAsia="Arial" w:hAnsi="Arial"/>
          <w:b w:val="1"/>
          <w:bCs w:val="1"/>
          <w:color w:val="0b5394"/>
          <w:rtl w:val="0"/>
        </w:rPr>
        <w:t xml:space="preserve"> (OR: 4,2), foram independentemente associados à conversão do PT. Além disso, um PT positivo na linha de base (OR: 4,7) e SNPs em </w:t>
      </w:r>
      <w:r w:rsidDel="00000000" w:rsidR="00000000" w:rsidRPr="00000000">
        <w:rPr>
          <w:rFonts w:ascii="Arial" w:cs="Arial" w:eastAsia="Arial" w:hAnsi="Arial"/>
          <w:b w:val="1"/>
          <w:bCs w:val="1"/>
          <w:i w:val="1"/>
          <w:iCs w:val="1"/>
          <w:color w:val="0b5394"/>
          <w:rtl w:val="0"/>
        </w:rPr>
        <w:t xml:space="preserve">TLR4</w:t>
      </w:r>
      <w:r w:rsidDel="00000000" w:rsidR="00000000" w:rsidRPr="00000000">
        <w:rPr>
          <w:rFonts w:ascii="Arial" w:cs="Arial" w:eastAsia="Arial" w:hAnsi="Arial"/>
          <w:b w:val="1"/>
          <w:bCs w:val="1"/>
          <w:color w:val="0b5394"/>
          <w:rtl w:val="0"/>
        </w:rPr>
        <w:t xml:space="preserve"> (OR: 6,5) e </w:t>
      </w:r>
      <w:r w:rsidDel="00000000" w:rsidR="00000000" w:rsidRPr="00000000">
        <w:rPr>
          <w:rFonts w:ascii="Arial" w:cs="Arial" w:eastAsia="Arial" w:hAnsi="Arial"/>
          <w:b w:val="1"/>
          <w:bCs w:val="1"/>
          <w:i w:val="1"/>
          <w:iCs w:val="1"/>
          <w:color w:val="0b5394"/>
          <w:rtl w:val="0"/>
        </w:rPr>
        <w:t xml:space="preserve">TNFA</w:t>
      </w:r>
      <w:r w:rsidDel="00000000" w:rsidR="00000000" w:rsidRPr="00000000">
        <w:rPr>
          <w:rFonts w:ascii="Arial" w:cs="Arial" w:eastAsia="Arial" w:hAnsi="Arial"/>
          <w:b w:val="1"/>
          <w:bCs w:val="1"/>
          <w:color w:val="0b5394"/>
          <w:rtl w:val="0"/>
        </w:rPr>
        <w:t xml:space="preserve"> (OR: 12,4) foram independentemente associados à incidência de TB ativa. Modelagens de redes bayesianas confirmaram essas associações diretas e robustas.</w:t>
      </w:r>
    </w:p>
    <w:p w:rsidR="00000000" w:rsidDel="00000000" w:rsidP="00000000" w:rsidRDefault="00000000" w:rsidRPr="00000000" w14:paraId="00000012">
      <w:pPr>
        <w:numPr>
          <w:ilvl w:val="0"/>
          <w:numId w:val="1"/>
        </w:numPr>
        <w:spacing w:after="240" w:before="0" w:lineRule="auto"/>
        <w:ind w:left="720" w:hanging="360"/>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Conclusão: Os polimorfismos nos genes </w:t>
      </w:r>
      <w:r w:rsidDel="00000000" w:rsidR="00000000" w:rsidRPr="00000000">
        <w:rPr>
          <w:rFonts w:ascii="Arial" w:cs="Arial" w:eastAsia="Arial" w:hAnsi="Arial"/>
          <w:b w:val="1"/>
          <w:bCs w:val="1"/>
          <w:i w:val="1"/>
          <w:iCs w:val="1"/>
          <w:color w:val="0b5394"/>
          <w:rtl w:val="0"/>
        </w:rPr>
        <w:t xml:space="preserve">TLR4</w:t>
      </w:r>
      <w:r w:rsidDel="00000000" w:rsidR="00000000" w:rsidRPr="00000000">
        <w:rPr>
          <w:rFonts w:ascii="Arial" w:cs="Arial" w:eastAsia="Arial" w:hAnsi="Arial"/>
          <w:b w:val="1"/>
          <w:bCs w:val="1"/>
          <w:color w:val="0b5394"/>
          <w:rtl w:val="0"/>
        </w:rPr>
        <w:t xml:space="preserve"> e </w:t>
      </w:r>
      <w:r w:rsidDel="00000000" w:rsidR="00000000" w:rsidRPr="00000000">
        <w:rPr>
          <w:rFonts w:ascii="Arial" w:cs="Arial" w:eastAsia="Arial" w:hAnsi="Arial"/>
          <w:b w:val="1"/>
          <w:bCs w:val="1"/>
          <w:i w:val="1"/>
          <w:iCs w:val="1"/>
          <w:color w:val="0b5394"/>
          <w:rtl w:val="0"/>
        </w:rPr>
        <w:t xml:space="preserve">TNFA</w:t>
      </w:r>
      <w:r w:rsidDel="00000000" w:rsidR="00000000" w:rsidRPr="00000000">
        <w:rPr>
          <w:rFonts w:ascii="Arial" w:cs="Arial" w:eastAsia="Arial" w:hAnsi="Arial"/>
          <w:b w:val="1"/>
          <w:bCs w:val="1"/>
          <w:color w:val="0b5394"/>
          <w:rtl w:val="0"/>
        </w:rPr>
        <w:t xml:space="preserve"> foram preditores tanto da conversão do teste tuberculínico quanto do desenvolvimento de TB ativa entre contatos de casos de tuberculose no Brasil. Esses achados sugerem que marcadores genéticos da resposta imune inata podem auxiliar na identificação de indivíduos com maior risco de infecção e progressão da doença.</w:t>
      </w:r>
    </w:p>
    <w:p w:rsidR="00000000" w:rsidDel="00000000" w:rsidP="00000000" w:rsidRDefault="00000000" w:rsidRPr="00000000" w14:paraId="00000013">
      <w:pPr>
        <w:spacing w:after="240" w:before="240" w:lineRule="auto"/>
        <w:rPr>
          <w:rFonts w:ascii="Arial" w:cs="Arial" w:eastAsia="Arial" w:hAnsi="Arial"/>
          <w:color w:val="0b5394"/>
        </w:rPr>
      </w:pPr>
      <w:r w:rsidDel="00000000" w:rsidR="00000000" w:rsidRPr="00000000">
        <w:rPr>
          <w:rFonts w:ascii="Arial" w:cs="Arial" w:eastAsia="Arial" w:hAnsi="Arial"/>
          <w:b w:val="1"/>
          <w:bCs w:val="1"/>
          <w:color w:val="0b5394"/>
          <w:rtl w:val="0"/>
        </w:rPr>
        <w:t xml:space="preserve">Palavras-chave: </w:t>
      </w:r>
      <w:r w:rsidDel="00000000" w:rsidR="00000000" w:rsidRPr="00000000">
        <w:rPr>
          <w:rFonts w:ascii="Arial" w:cs="Arial" w:eastAsia="Arial" w:hAnsi="Arial"/>
          <w:color w:val="0b5394"/>
          <w:rtl w:val="0"/>
        </w:rPr>
        <w:t xml:space="preserve">Polimorfismo de nucleotídeo único; teste tuberculínico; </w:t>
      </w:r>
      <w:r w:rsidDel="00000000" w:rsidR="00000000" w:rsidRPr="00000000">
        <w:rPr>
          <w:rFonts w:ascii="Arial" w:cs="Arial" w:eastAsia="Arial" w:hAnsi="Arial"/>
          <w:i w:val="1"/>
          <w:iCs w:val="1"/>
          <w:color w:val="0b5394"/>
          <w:rtl w:val="0"/>
        </w:rPr>
        <w:t xml:space="preserve">Mycobacterium tuberculosis</w:t>
      </w:r>
      <w:r w:rsidDel="00000000" w:rsidR="00000000" w:rsidRPr="00000000">
        <w:rPr>
          <w:rFonts w:ascii="Arial" w:cs="Arial" w:eastAsia="Arial" w:hAnsi="Arial"/>
          <w:color w:val="0b5394"/>
          <w:rtl w:val="0"/>
        </w:rPr>
        <w:t xml:space="preserve">; fator de necrose tumoral; receptor Toll-like.</w:t>
      </w:r>
    </w:p>
    <w:p w:rsidR="00000000" w:rsidDel="00000000" w:rsidP="00000000" w:rsidRDefault="00000000" w:rsidRPr="00000000" w14:paraId="00000014">
      <w:pPr>
        <w:spacing w:after="240" w:line="276" w:lineRule="auto"/>
        <w:rPr>
          <w:rFonts w:ascii="Arial" w:cs="Arial" w:eastAsia="Arial" w:hAnsi="Arial"/>
          <w:color w:val="0b5394"/>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ynqvb" w:customStyle="1">
    <w:name w:val="rynqvb"/>
    <w:basedOn w:val="Fontepargpadro"/>
    <w:rsid w:val="00EE5AB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qFY1JtBTuOAp72S6C1cuBioWLQ==">CgMxLjA4AHIhMVEwNk8tOVVnbmx0aEtrQlJKdUk2M1pSengyYk9qeEtK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2023-11-28T15:21:00Z</dcterms:created>
  <dc:creator>fernanda27585</dc:creator>
</cp:coreProperties>
</file>