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4"/>
          <w:szCs w:val="34"/>
        </w:rPr>
      </w:pPr>
      <w:r w:rsidDel="00000000" w:rsidR="00000000" w:rsidRPr="00000000">
        <w:rPr>
          <w:b w:val="1"/>
          <w:bCs w:val="1"/>
          <w:sz w:val="34"/>
          <w:szCs w:val="34"/>
          <w:rtl w:val="0"/>
        </w:rPr>
        <w:t xml:space="preserve">2025</w:t>
      </w:r>
    </w:p>
    <w:p w:rsidR="00000000" w:rsidDel="00000000" w:rsidP="00000000" w:rsidRDefault="00000000" w:rsidRPr="00000000" w14:paraId="00000002">
      <w:pPr>
        <w:rPr>
          <w:b w:val="1"/>
          <w:bCs w:val="1"/>
          <w:sz w:val="34"/>
          <w:szCs w:val="34"/>
        </w:rPr>
      </w:pPr>
      <w:r w:rsidDel="00000000" w:rsidR="00000000" w:rsidRPr="00000000">
        <w:rPr>
          <w:rtl w:val="0"/>
        </w:rPr>
      </w:r>
    </w:p>
    <w:p w:rsidR="00000000" w:rsidDel="00000000" w:rsidP="00000000" w:rsidRDefault="00000000" w:rsidRPr="00000000" w14:paraId="00000003">
      <w:pPr>
        <w:rPr>
          <w:b w:val="1"/>
          <w:bCs w:val="1"/>
          <w:sz w:val="34"/>
          <w:szCs w:val="34"/>
        </w:rPr>
      </w:pPr>
      <w:r w:rsidDel="00000000" w:rsidR="00000000" w:rsidRPr="00000000">
        <w:rPr>
          <w:rtl w:val="0"/>
        </w:rPr>
      </w:r>
    </w:p>
    <w:p w:rsidR="00000000" w:rsidDel="00000000" w:rsidP="00000000" w:rsidRDefault="00000000" w:rsidRPr="00000000" w14:paraId="00000004">
      <w:pPr>
        <w:rPr>
          <w:b w:val="1"/>
          <w:bCs w:val="1"/>
          <w:sz w:val="34"/>
          <w:szCs w:val="34"/>
        </w:rPr>
      </w:pPr>
      <w:r w:rsidDel="00000000" w:rsidR="00000000" w:rsidRPr="00000000">
        <w:rPr>
          <w:b w:val="1"/>
          <w:bCs w:val="1"/>
          <w:sz w:val="34"/>
          <w:szCs w:val="34"/>
          <w:rtl w:val="0"/>
        </w:rPr>
        <w:t xml:space="preserve">Effects of missed anti-tuberculosis therapy doses on treatment outcome: a multi-center cohort study</w:t>
      </w:r>
    </w:p>
    <w:p w:rsidR="00000000" w:rsidDel="00000000" w:rsidP="00000000" w:rsidRDefault="00000000" w:rsidRPr="00000000" w14:paraId="00000005">
      <w:pPr>
        <w:rPr>
          <w:b w:val="1"/>
          <w:bCs w:val="1"/>
          <w:sz w:val="30"/>
          <w:szCs w:val="30"/>
        </w:rPr>
      </w:pPr>
      <w:r w:rsidDel="00000000" w:rsidR="00000000" w:rsidRPr="00000000">
        <w:rPr>
          <w:rtl w:val="0"/>
        </w:rPr>
      </w:r>
    </w:p>
    <w:p w:rsidR="00000000" w:rsidDel="00000000" w:rsidP="00000000" w:rsidRDefault="00000000" w:rsidRPr="00000000" w14:paraId="00000006">
      <w:pPr>
        <w:spacing w:after="240" w:lineRule="auto"/>
        <w:rPr>
          <w:b w:val="1"/>
          <w:bCs w:val="1"/>
          <w:sz w:val="24"/>
          <w:szCs w:val="24"/>
        </w:rPr>
      </w:pPr>
      <w:r w:rsidDel="00000000" w:rsidR="00000000" w:rsidRPr="00000000">
        <w:rPr>
          <w:b w:val="1"/>
          <w:bCs w:val="1"/>
          <w:sz w:val="24"/>
          <w:szCs w:val="24"/>
          <w:rtl w:val="0"/>
        </w:rPr>
        <w:t xml:space="preserve">Background:</w:t>
      </w:r>
    </w:p>
    <w:p w:rsidR="00000000" w:rsidDel="00000000" w:rsidP="00000000" w:rsidRDefault="00000000" w:rsidRPr="00000000" w14:paraId="00000007">
      <w:pPr>
        <w:spacing w:after="240" w:lineRule="auto"/>
        <w:rPr>
          <w:b w:val="1"/>
          <w:bCs w:val="1"/>
          <w:sz w:val="24"/>
          <w:szCs w:val="24"/>
        </w:rPr>
      </w:pPr>
      <w:r w:rsidDel="00000000" w:rsidR="00000000" w:rsidRPr="00000000">
        <w:rPr>
          <w:b w:val="1"/>
          <w:bCs w:val="1"/>
          <w:sz w:val="24"/>
          <w:szCs w:val="24"/>
          <w:rtl w:val="0"/>
        </w:rPr>
        <w:t xml:space="preserve">Tuberculosis (TB) continues to be a leading cause of infectious disease mortality globally. Although Directly Observed Therapy (DOT) is widely recommended to enhance compliance, nonadherence remains a critical barrier to achieving the treatment success targets established by the END TB Strategy. Understanding how even minor deviations in medication intake influence clinical outcomes in real-world settings is essential for improving TB care and preventing the development of drug resistance.</w:t>
      </w:r>
    </w:p>
    <w:p w:rsidR="00000000" w:rsidDel="00000000" w:rsidP="00000000" w:rsidRDefault="00000000" w:rsidRPr="00000000" w14:paraId="00000008">
      <w:pPr>
        <w:spacing w:after="240" w:lineRule="auto"/>
        <w:rPr>
          <w:b w:val="1"/>
          <w:bCs w:val="1"/>
          <w:sz w:val="24"/>
          <w:szCs w:val="24"/>
        </w:rPr>
      </w:pPr>
      <w:r w:rsidDel="00000000" w:rsidR="00000000" w:rsidRPr="00000000">
        <w:rPr>
          <w:b w:val="1"/>
          <w:bCs w:val="1"/>
          <w:sz w:val="24"/>
          <w:szCs w:val="24"/>
          <w:rtl w:val="0"/>
        </w:rPr>
        <w:t xml:space="preserve">Abstract:</w:t>
      </w:r>
    </w:p>
    <w:p w:rsidR="00000000" w:rsidDel="00000000" w:rsidP="00000000" w:rsidRDefault="00000000" w:rsidRPr="00000000" w14:paraId="00000009">
      <w:pPr>
        <w:numPr>
          <w:ilvl w:val="0"/>
          <w:numId w:val="2"/>
        </w:numPr>
        <w:spacing w:after="0" w:lineRule="auto"/>
        <w:ind w:left="720" w:hanging="360"/>
        <w:rPr>
          <w:b w:val="1"/>
          <w:bCs w:val="1"/>
          <w:sz w:val="24"/>
          <w:szCs w:val="24"/>
        </w:rPr>
      </w:pPr>
      <w:r w:rsidDel="00000000" w:rsidR="00000000" w:rsidRPr="00000000">
        <w:rPr>
          <w:b w:val="1"/>
          <w:bCs w:val="1"/>
          <w:sz w:val="24"/>
          <w:szCs w:val="24"/>
          <w:rtl w:val="0"/>
        </w:rPr>
        <w:t xml:space="preserve">Methods: This prospective multi-center study followed 578 adults with drug-sensitive TB from the RePORT-Brazil cohort (2015–2019) for two years. Adherence was monitored daily via DOT, and nonadherence was defined as the percentage of missed doses relative to the prescribed regimen. The primary composite unfavorable outcome included treatment failure, disease recurrence, drug resistance, death, or loss to follow-up (LTFU) after 30 days.</w:t>
      </w:r>
    </w:p>
    <w:p w:rsidR="00000000" w:rsidDel="00000000" w:rsidP="00000000" w:rsidRDefault="00000000" w:rsidRPr="00000000" w14:paraId="0000000A">
      <w:pPr>
        <w:numPr>
          <w:ilvl w:val="0"/>
          <w:numId w:val="2"/>
        </w:numPr>
        <w:spacing w:after="0" w:lineRule="auto"/>
        <w:ind w:left="720" w:hanging="360"/>
        <w:rPr>
          <w:b w:val="1"/>
          <w:bCs w:val="1"/>
          <w:sz w:val="24"/>
          <w:szCs w:val="24"/>
        </w:rPr>
      </w:pPr>
      <w:r w:rsidDel="00000000" w:rsidR="00000000" w:rsidRPr="00000000">
        <w:rPr>
          <w:b w:val="1"/>
          <w:bCs w:val="1"/>
          <w:sz w:val="24"/>
          <w:szCs w:val="24"/>
          <w:rtl w:val="0"/>
        </w:rPr>
        <w:t xml:space="preserve">Results: Overall, 37.7% of participants experienced unfavorable outcomes. A significant dose-response relationship was found: missing just 2.8% of prescribed doses increased the predicted risk of an unfavorable outcome by 10%. Participants missing more than 10% of doses had an 81.2% likelihood of unfavorable outcomes compared to 21.6% for those with complete adherence. Multivariable analysis confirmed that the percentage of missed doses was independently associated with poor outcomes (adjusted OR: 1.11; 95% CI: 1.07–1.14).</w:t>
      </w:r>
    </w:p>
    <w:p w:rsidR="00000000" w:rsidDel="00000000" w:rsidP="00000000" w:rsidRDefault="00000000" w:rsidRPr="00000000" w14:paraId="0000000B">
      <w:pPr>
        <w:numPr>
          <w:ilvl w:val="0"/>
          <w:numId w:val="2"/>
        </w:numPr>
        <w:spacing w:after="240" w:lineRule="auto"/>
        <w:ind w:left="720" w:hanging="360"/>
        <w:rPr>
          <w:b w:val="1"/>
          <w:bCs w:val="1"/>
          <w:sz w:val="24"/>
          <w:szCs w:val="24"/>
        </w:rPr>
      </w:pPr>
      <w:r w:rsidDel="00000000" w:rsidR="00000000" w:rsidRPr="00000000">
        <w:rPr>
          <w:b w:val="1"/>
          <w:bCs w:val="1"/>
          <w:sz w:val="24"/>
          <w:szCs w:val="24"/>
          <w:rtl w:val="0"/>
        </w:rPr>
        <w:t xml:space="preserve">Conclusion: Even minimal nonadherence significantly compromises TB treatment success. Routine adherence monitoring and early intervention are critical to prevent treatment failure and transmission.</w:t>
      </w:r>
    </w:p>
    <w:p w:rsidR="00000000" w:rsidDel="00000000" w:rsidP="00000000" w:rsidRDefault="00000000" w:rsidRPr="00000000" w14:paraId="0000000C">
      <w:pPr>
        <w:spacing w:after="240" w:lineRule="auto"/>
        <w:rPr>
          <w:b w:val="1"/>
          <w:bCs w:val="1"/>
          <w:sz w:val="24"/>
          <w:szCs w:val="24"/>
        </w:rPr>
      </w:pPr>
      <w:r w:rsidDel="00000000" w:rsidR="00000000" w:rsidRPr="00000000">
        <w:rPr>
          <w:b w:val="1"/>
          <w:bCs w:val="1"/>
          <w:sz w:val="24"/>
          <w:szCs w:val="24"/>
          <w:rtl w:val="0"/>
        </w:rPr>
        <w:t xml:space="preserve">Keywords: Tuberculosis; Adherence; Treatment; Compliance; Unfavorable treatment outcome.</w:t>
      </w:r>
    </w:p>
    <w:p w:rsidR="00000000" w:rsidDel="00000000" w:rsidP="00000000" w:rsidRDefault="00000000" w:rsidRPr="00000000" w14:paraId="0000000D">
      <w:pPr>
        <w:rPr>
          <w:b w:val="1"/>
          <w:bCs w:val="1"/>
          <w:sz w:val="28"/>
          <w:szCs w:val="28"/>
        </w:rPr>
      </w:pPr>
      <w:r w:rsidDel="00000000" w:rsidR="00000000" w:rsidRPr="00000000">
        <w:rPr>
          <w:rtl w:val="0"/>
        </w:rPr>
      </w:r>
    </w:p>
    <w:p w:rsidR="00000000" w:rsidDel="00000000" w:rsidP="00000000" w:rsidRDefault="00000000" w:rsidRPr="00000000" w14:paraId="0000000E">
      <w:pPr>
        <w:rPr>
          <w:b w:val="1"/>
          <w:bCs w:val="1"/>
          <w:sz w:val="28"/>
          <w:szCs w:val="28"/>
        </w:rPr>
      </w:pPr>
      <w:r w:rsidDel="00000000" w:rsidR="00000000" w:rsidRPr="00000000">
        <w:rPr>
          <w:rtl w:val="0"/>
        </w:rPr>
      </w:r>
    </w:p>
    <w:p w:rsidR="00000000" w:rsidDel="00000000" w:rsidP="00000000" w:rsidRDefault="00000000" w:rsidRPr="00000000" w14:paraId="0000000F">
      <w:pPr>
        <w:rPr>
          <w:b w:val="1"/>
          <w:bCs w:val="1"/>
          <w:sz w:val="28"/>
          <w:szCs w:val="28"/>
        </w:rPr>
      </w:pPr>
      <w:r w:rsidDel="00000000" w:rsidR="00000000" w:rsidRPr="00000000">
        <w:rPr>
          <w:rtl w:val="0"/>
        </w:rPr>
      </w:r>
    </w:p>
    <w:p w:rsidR="00000000" w:rsidDel="00000000" w:rsidP="00000000" w:rsidRDefault="00000000" w:rsidRPr="00000000" w14:paraId="00000010">
      <w:pPr>
        <w:rPr>
          <w:b w:val="1"/>
          <w:bCs w:val="1"/>
          <w:sz w:val="28"/>
          <w:szCs w:val="28"/>
        </w:rPr>
      </w:pPr>
      <w:r w:rsidDel="00000000" w:rsidR="00000000" w:rsidRPr="00000000">
        <w:rPr>
          <w:rtl w:val="0"/>
        </w:rPr>
      </w:r>
    </w:p>
    <w:p w:rsidR="00000000" w:rsidDel="00000000" w:rsidP="00000000" w:rsidRDefault="00000000" w:rsidRPr="00000000" w14:paraId="00000011">
      <w:pPr>
        <w:pStyle w:val="Heading4"/>
        <w:keepNext w:val="0"/>
        <w:keepLines w:val="0"/>
        <w:spacing w:after="40" w:before="0" w:lineRule="auto"/>
        <w:rPr>
          <w:b w:val="1"/>
          <w:bCs w:val="1"/>
          <w:color w:val="000000"/>
          <w:sz w:val="16"/>
          <w:szCs w:val="16"/>
        </w:rPr>
      </w:pPr>
      <w:bookmarkStart w:colFirst="0" w:colLast="0" w:name="_heading=h.rug3oldexal" w:id="0"/>
      <w:bookmarkEnd w:id="0"/>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240" w:lineRule="auto"/>
        <w:rPr>
          <w:b w:val="1"/>
          <w:bCs w:val="1"/>
          <w:color w:val="0b5394"/>
          <w:sz w:val="28"/>
          <w:szCs w:val="28"/>
        </w:rPr>
      </w:pPr>
      <w:r w:rsidDel="00000000" w:rsidR="00000000" w:rsidRPr="00000000">
        <w:rPr>
          <w:b w:val="1"/>
          <w:bCs w:val="1"/>
          <w:color w:val="0b5394"/>
          <w:sz w:val="28"/>
          <w:szCs w:val="28"/>
          <w:rtl w:val="0"/>
        </w:rPr>
        <w:t xml:space="preserve">Efeitos de doses perdidas da terapia antituberculose no desfecho do tratamento: um estudo de coorte multicêntrico</w:t>
      </w:r>
    </w:p>
    <w:p w:rsidR="00000000" w:rsidDel="00000000" w:rsidP="00000000" w:rsidRDefault="00000000" w:rsidRPr="00000000" w14:paraId="00000014">
      <w:pPr>
        <w:spacing w:after="240" w:lineRule="auto"/>
        <w:rPr>
          <w:b w:val="1"/>
          <w:bCs w:val="1"/>
          <w:color w:val="0b5394"/>
          <w:sz w:val="28"/>
          <w:szCs w:val="28"/>
        </w:rPr>
      </w:pPr>
      <w:r w:rsidDel="00000000" w:rsidR="00000000" w:rsidRPr="00000000">
        <w:rPr>
          <w:rtl w:val="0"/>
        </w:rPr>
      </w:r>
    </w:p>
    <w:p w:rsidR="00000000" w:rsidDel="00000000" w:rsidP="00000000" w:rsidRDefault="00000000" w:rsidRPr="00000000" w14:paraId="00000015">
      <w:pPr>
        <w:spacing w:after="240" w:lineRule="auto"/>
        <w:rPr>
          <w:b w:val="1"/>
          <w:bCs w:val="1"/>
          <w:color w:val="0b5394"/>
          <w:sz w:val="24"/>
          <w:szCs w:val="24"/>
        </w:rPr>
      </w:pPr>
      <w:r w:rsidDel="00000000" w:rsidR="00000000" w:rsidRPr="00000000">
        <w:rPr>
          <w:b w:val="1"/>
          <w:bCs w:val="1"/>
          <w:color w:val="0b5394"/>
          <w:sz w:val="24"/>
          <w:szCs w:val="24"/>
          <w:rtl w:val="0"/>
        </w:rPr>
        <w:t xml:space="preserve">Contexto:</w:t>
      </w:r>
    </w:p>
    <w:p w:rsidR="00000000" w:rsidDel="00000000" w:rsidP="00000000" w:rsidRDefault="00000000" w:rsidRPr="00000000" w14:paraId="00000016">
      <w:pPr>
        <w:spacing w:after="240" w:lineRule="auto"/>
        <w:rPr>
          <w:b w:val="1"/>
          <w:bCs w:val="1"/>
          <w:color w:val="0b5394"/>
          <w:sz w:val="24"/>
          <w:szCs w:val="24"/>
        </w:rPr>
      </w:pPr>
      <w:r w:rsidDel="00000000" w:rsidR="00000000" w:rsidRPr="00000000">
        <w:rPr>
          <w:b w:val="1"/>
          <w:bCs w:val="1"/>
          <w:color w:val="0b5394"/>
          <w:sz w:val="24"/>
          <w:szCs w:val="24"/>
          <w:rtl w:val="0"/>
        </w:rPr>
        <w:t xml:space="preserve">A tuberculose (TB) continua sendo uma das principais causas de mortalidade por doenças infecciosas em todo o mundo. Embora o Tratamento Diretamente Observado (TDO) seja amplamente recomendado para aumentar a adesão, a não adesão permanece uma barreira crítica para alcançar as metas de sucesso de tratamento estabelecidas pela Estratégia END TB. Compreender como mesmo pequenos desvios na ingestão de medicamentos influenciam os resultados clínicos em cenários do mundo real é essencial para melhorar o cuidado da TB e prevenir o desenvolvimento de resistência a drogas.</w:t>
      </w:r>
    </w:p>
    <w:p w:rsidR="00000000" w:rsidDel="00000000" w:rsidP="00000000" w:rsidRDefault="00000000" w:rsidRPr="00000000" w14:paraId="00000017">
      <w:pPr>
        <w:spacing w:after="240" w:lineRule="auto"/>
        <w:rPr>
          <w:b w:val="1"/>
          <w:bCs w:val="1"/>
          <w:color w:val="0b5394"/>
          <w:sz w:val="24"/>
          <w:szCs w:val="24"/>
        </w:rPr>
      </w:pPr>
      <w:r w:rsidDel="00000000" w:rsidR="00000000" w:rsidRPr="00000000">
        <w:rPr>
          <w:b w:val="1"/>
          <w:bCs w:val="1"/>
          <w:color w:val="0b5394"/>
          <w:sz w:val="24"/>
          <w:szCs w:val="24"/>
          <w:rtl w:val="0"/>
        </w:rPr>
        <w:t xml:space="preserve">Resumo:</w:t>
      </w:r>
    </w:p>
    <w:p w:rsidR="00000000" w:rsidDel="00000000" w:rsidP="00000000" w:rsidRDefault="00000000" w:rsidRPr="00000000" w14:paraId="00000018">
      <w:pPr>
        <w:spacing w:after="240" w:lineRule="auto"/>
        <w:rPr>
          <w:b w:val="1"/>
          <w:bCs w:val="1"/>
          <w:color w:val="0b5394"/>
          <w:sz w:val="24"/>
          <w:szCs w:val="24"/>
        </w:rPr>
      </w:pPr>
      <w:r w:rsidDel="00000000" w:rsidR="00000000" w:rsidRPr="00000000">
        <w:rPr>
          <w:rtl w:val="0"/>
        </w:rPr>
      </w:r>
    </w:p>
    <w:p w:rsidR="00000000" w:rsidDel="00000000" w:rsidP="00000000" w:rsidRDefault="00000000" w:rsidRPr="00000000" w14:paraId="00000019">
      <w:pPr>
        <w:numPr>
          <w:ilvl w:val="0"/>
          <w:numId w:val="1"/>
        </w:numPr>
        <w:spacing w:after="0" w:lineRule="auto"/>
        <w:ind w:left="720" w:hanging="360"/>
        <w:rPr>
          <w:b w:val="1"/>
          <w:bCs w:val="1"/>
          <w:color w:val="0b5394"/>
          <w:sz w:val="24"/>
          <w:szCs w:val="24"/>
        </w:rPr>
      </w:pPr>
      <w:r w:rsidDel="00000000" w:rsidR="00000000" w:rsidRPr="00000000">
        <w:rPr>
          <w:b w:val="1"/>
          <w:bCs w:val="1"/>
          <w:color w:val="0b5394"/>
          <w:sz w:val="24"/>
          <w:szCs w:val="24"/>
          <w:rtl w:val="0"/>
        </w:rPr>
        <w:t xml:space="preserve">Métodos: Este estudo prospectivo multicêntrico acompanhou 578 adultos com TB sensível a drogas da coorte RePORT-Brasil (2015–2019) por dois anos. A adesão foi monitorada diariamente via TDO, e a não adesão foi definida como a porcentagem de doses perdidas em relação ao regime prescrito. O desfecho primário composto desfavorável incluiu falha do tratamento, recorrência da doença, resistência a drogas, óbito ou perda de seguimento (abandonos) após 30 dias.</w:t>
      </w:r>
    </w:p>
    <w:p w:rsidR="00000000" w:rsidDel="00000000" w:rsidP="00000000" w:rsidRDefault="00000000" w:rsidRPr="00000000" w14:paraId="0000001A">
      <w:pPr>
        <w:numPr>
          <w:ilvl w:val="0"/>
          <w:numId w:val="1"/>
        </w:numPr>
        <w:spacing w:after="0" w:lineRule="auto"/>
        <w:ind w:left="720" w:hanging="360"/>
        <w:rPr>
          <w:b w:val="1"/>
          <w:bCs w:val="1"/>
          <w:color w:val="0b5394"/>
          <w:sz w:val="24"/>
          <w:szCs w:val="24"/>
        </w:rPr>
      </w:pPr>
      <w:r w:rsidDel="00000000" w:rsidR="00000000" w:rsidRPr="00000000">
        <w:rPr>
          <w:b w:val="1"/>
          <w:bCs w:val="1"/>
          <w:color w:val="0b5394"/>
          <w:sz w:val="24"/>
          <w:szCs w:val="24"/>
          <w:rtl w:val="0"/>
        </w:rPr>
        <w:t xml:space="preserve">Resultados: No total, 37,7% dos participantes tiveram desfechos desfavoráveis. Foi encontrada uma relação dose-resposta significativa: perder apenas 2,8% das doses prescritas aumentou o risco previsto de um desfecho desfavorável em 10%. Participantes que perderam mais de 10% das doses tiveram uma probabilidade de 81,2% de desfechos desfavoráveis, em comparação com 21,6% para aqueles com adesão completa. A análise multivariada confirmou que a porcentagem de doses perdidas foi independentemente associada a desfechos ruins (OR ajustada: 1,11; IC 95%: 1,07–1,14).</w:t>
      </w:r>
    </w:p>
    <w:p w:rsidR="00000000" w:rsidDel="00000000" w:rsidP="00000000" w:rsidRDefault="00000000" w:rsidRPr="00000000" w14:paraId="0000001B">
      <w:pPr>
        <w:numPr>
          <w:ilvl w:val="0"/>
          <w:numId w:val="1"/>
        </w:numPr>
        <w:spacing w:after="240" w:lineRule="auto"/>
        <w:ind w:left="720" w:hanging="360"/>
        <w:rPr>
          <w:b w:val="1"/>
          <w:bCs w:val="1"/>
          <w:color w:val="0b5394"/>
          <w:sz w:val="24"/>
          <w:szCs w:val="24"/>
        </w:rPr>
      </w:pPr>
      <w:r w:rsidDel="00000000" w:rsidR="00000000" w:rsidRPr="00000000">
        <w:rPr>
          <w:b w:val="1"/>
          <w:bCs w:val="1"/>
          <w:color w:val="0b5394"/>
          <w:sz w:val="24"/>
          <w:szCs w:val="24"/>
          <w:rtl w:val="0"/>
        </w:rPr>
        <w:t xml:space="preserve">Conclusão: Mesmo uma não adesão mínima compromete significativamente o sucesso do tratamento da TB. O monitoramento rotineiro da adesão e a intervenção precoce são críticos para prevenir a falha do tratamento e a transmissão.</w:t>
      </w:r>
    </w:p>
    <w:p w:rsidR="00000000" w:rsidDel="00000000" w:rsidP="00000000" w:rsidRDefault="00000000" w:rsidRPr="00000000" w14:paraId="0000001C">
      <w:pPr>
        <w:spacing w:after="240" w:lineRule="auto"/>
        <w:rPr>
          <w:b w:val="1"/>
          <w:bCs w:val="1"/>
          <w:color w:val="0b5394"/>
          <w:sz w:val="24"/>
          <w:szCs w:val="24"/>
        </w:rPr>
      </w:pPr>
      <w:r w:rsidDel="00000000" w:rsidR="00000000" w:rsidRPr="00000000">
        <w:rPr>
          <w:b w:val="1"/>
          <w:bCs w:val="1"/>
          <w:color w:val="0b5394"/>
          <w:sz w:val="24"/>
          <w:szCs w:val="24"/>
          <w:rtl w:val="0"/>
        </w:rPr>
        <w:t xml:space="preserve">Palavras-chave: Tuberculose; Adesão; Tratamento; Conformidade; Desfecho de tratamento desfavorável.</w:t>
      </w:r>
    </w:p>
    <w:p w:rsidR="00000000" w:rsidDel="00000000" w:rsidP="00000000" w:rsidRDefault="00000000" w:rsidRPr="00000000" w14:paraId="0000001D">
      <w:pPr>
        <w:rPr>
          <w:b w:val="1"/>
          <w:bCs w:val="1"/>
          <w:color w:val="0b5394"/>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vTI0jP2jLF7rsD7BiQ5kr9F2tg==">CgMxLjAyDWgucnVnM29sZGV4YWw4AHIhMTZVSmNfbExONHU2V1ZFenhxeTROZ2NKeldtSGgyRkdD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